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3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1276"/>
        <w:gridCol w:w="6265"/>
        <w:gridCol w:w="1154"/>
      </w:tblGrid>
      <w:tr w14:paraId="04D63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704" w:type="dxa"/>
            <w:noWrap w:val="0"/>
            <w:vAlign w:val="center"/>
          </w:tcPr>
          <w:p w14:paraId="20642DD2">
            <w:pPr>
              <w:spacing w:line="360" w:lineRule="auto"/>
              <w:jc w:val="center"/>
              <w:rPr>
                <w:rFonts w:ascii="宋体" w:hAnsi="宋体"/>
                <w:b/>
                <w:color w:val="000000"/>
                <w:sz w:val="24"/>
              </w:rPr>
            </w:pPr>
            <w:r>
              <w:rPr>
                <w:rFonts w:hint="eastAsia" w:ascii="宋体" w:hAnsi="宋体"/>
                <w:b/>
                <w:color w:val="000000"/>
                <w:sz w:val="24"/>
              </w:rPr>
              <w:t>序号</w:t>
            </w:r>
          </w:p>
        </w:tc>
        <w:tc>
          <w:tcPr>
            <w:tcW w:w="1276" w:type="dxa"/>
            <w:noWrap w:val="0"/>
            <w:vAlign w:val="center"/>
          </w:tcPr>
          <w:p w14:paraId="299DBF2B">
            <w:pPr>
              <w:spacing w:line="360" w:lineRule="auto"/>
              <w:jc w:val="center"/>
              <w:rPr>
                <w:rFonts w:ascii="宋体" w:hAnsi="宋体"/>
                <w:b/>
                <w:color w:val="000000"/>
                <w:sz w:val="24"/>
              </w:rPr>
            </w:pPr>
            <w:r>
              <w:rPr>
                <w:rFonts w:hint="eastAsia" w:ascii="宋体" w:hAnsi="宋体"/>
                <w:b/>
                <w:color w:val="000000"/>
                <w:sz w:val="24"/>
              </w:rPr>
              <w:t>评审项目</w:t>
            </w:r>
          </w:p>
        </w:tc>
        <w:tc>
          <w:tcPr>
            <w:tcW w:w="6265" w:type="dxa"/>
            <w:noWrap w:val="0"/>
            <w:vAlign w:val="center"/>
          </w:tcPr>
          <w:p w14:paraId="743A854C">
            <w:pPr>
              <w:spacing w:line="360" w:lineRule="auto"/>
              <w:jc w:val="center"/>
              <w:rPr>
                <w:rFonts w:ascii="宋体" w:hAnsi="宋体"/>
                <w:b/>
                <w:color w:val="000000"/>
                <w:sz w:val="24"/>
              </w:rPr>
            </w:pPr>
            <w:r>
              <w:rPr>
                <w:rFonts w:hint="eastAsia" w:ascii="宋体" w:hAnsi="宋体"/>
                <w:b/>
                <w:color w:val="000000"/>
                <w:sz w:val="24"/>
              </w:rPr>
              <w:t>评审内容及规则</w:t>
            </w:r>
          </w:p>
        </w:tc>
        <w:tc>
          <w:tcPr>
            <w:tcW w:w="1154" w:type="dxa"/>
            <w:noWrap w:val="0"/>
            <w:vAlign w:val="center"/>
          </w:tcPr>
          <w:p w14:paraId="3BB33B65">
            <w:pPr>
              <w:spacing w:line="360" w:lineRule="auto"/>
              <w:jc w:val="center"/>
              <w:rPr>
                <w:rFonts w:ascii="宋体" w:hAnsi="宋体"/>
                <w:b/>
                <w:color w:val="000000"/>
                <w:sz w:val="24"/>
              </w:rPr>
            </w:pPr>
            <w:r>
              <w:rPr>
                <w:rFonts w:hint="eastAsia" w:ascii="宋体" w:hAnsi="宋体"/>
                <w:b/>
                <w:color w:val="000000"/>
                <w:sz w:val="24"/>
              </w:rPr>
              <w:t>标准分值</w:t>
            </w:r>
          </w:p>
        </w:tc>
      </w:tr>
      <w:tr w14:paraId="3744C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9" w:hRule="atLeast"/>
          <w:jc w:val="center"/>
        </w:trPr>
        <w:tc>
          <w:tcPr>
            <w:tcW w:w="704" w:type="dxa"/>
            <w:noWrap w:val="0"/>
            <w:vAlign w:val="center"/>
          </w:tcPr>
          <w:p w14:paraId="3DAAEF32">
            <w:pPr>
              <w:spacing w:line="360" w:lineRule="auto"/>
              <w:jc w:val="center"/>
              <w:rPr>
                <w:rFonts w:ascii="宋体" w:hAnsi="宋体"/>
                <w:color w:val="000000"/>
                <w:sz w:val="24"/>
              </w:rPr>
            </w:pPr>
            <w:r>
              <w:rPr>
                <w:rFonts w:hint="eastAsia" w:ascii="宋体" w:hAnsi="宋体"/>
                <w:color w:val="000000"/>
                <w:sz w:val="24"/>
              </w:rPr>
              <w:t>一</w:t>
            </w:r>
          </w:p>
        </w:tc>
        <w:tc>
          <w:tcPr>
            <w:tcW w:w="1276" w:type="dxa"/>
            <w:noWrap w:val="0"/>
            <w:vAlign w:val="center"/>
          </w:tcPr>
          <w:p w14:paraId="2A55E68A">
            <w:pPr>
              <w:spacing w:line="360" w:lineRule="auto"/>
              <w:jc w:val="center"/>
              <w:rPr>
                <w:rFonts w:hint="eastAsia" w:ascii="宋体" w:hAnsi="宋体" w:eastAsia="宋体"/>
                <w:color w:val="000000"/>
                <w:sz w:val="24"/>
                <w:lang w:eastAsia="zh-CN"/>
              </w:rPr>
            </w:pPr>
            <w:r>
              <w:rPr>
                <w:rFonts w:hint="eastAsia" w:ascii="宋体" w:hAnsi="宋体"/>
                <w:color w:val="000000"/>
                <w:sz w:val="24"/>
                <w:lang w:val="en-US" w:eastAsia="zh-CN"/>
              </w:rPr>
              <w:t>产品数量种类</w:t>
            </w:r>
          </w:p>
          <w:p w14:paraId="3574771D">
            <w:pPr>
              <w:spacing w:line="360" w:lineRule="auto"/>
              <w:jc w:val="center"/>
              <w:rPr>
                <w:rFonts w:ascii="宋体" w:hAnsi="宋体"/>
                <w:color w:val="000000"/>
                <w:sz w:val="24"/>
              </w:rPr>
            </w:pPr>
            <w:r>
              <w:rPr>
                <w:rFonts w:hint="eastAsia" w:ascii="宋体" w:hAnsi="宋体"/>
                <w:color w:val="000000"/>
                <w:sz w:val="24"/>
              </w:rPr>
              <w:t>（</w:t>
            </w:r>
            <w:r>
              <w:rPr>
                <w:rFonts w:hint="eastAsia" w:ascii="宋体" w:hAnsi="宋体"/>
                <w:color w:val="000000"/>
                <w:sz w:val="24"/>
                <w:lang w:val="en-US" w:eastAsia="zh-CN"/>
              </w:rPr>
              <w:t>40</w:t>
            </w:r>
            <w:r>
              <w:rPr>
                <w:rFonts w:hint="eastAsia" w:ascii="宋体" w:hAnsi="宋体"/>
                <w:color w:val="000000"/>
                <w:sz w:val="24"/>
              </w:rPr>
              <w:t>分）</w:t>
            </w:r>
          </w:p>
        </w:tc>
        <w:tc>
          <w:tcPr>
            <w:tcW w:w="6265" w:type="dxa"/>
            <w:noWrap w:val="0"/>
            <w:vAlign w:val="center"/>
          </w:tcPr>
          <w:p w14:paraId="41E76BC9">
            <w:pPr>
              <w:spacing w:line="360" w:lineRule="auto"/>
              <w:rPr>
                <w:rFonts w:ascii="宋体" w:hAnsi="宋体"/>
                <w:color w:val="000000"/>
                <w:sz w:val="24"/>
              </w:rPr>
            </w:pPr>
            <w:r>
              <w:rPr>
                <w:rFonts w:hint="eastAsia" w:ascii="宋体" w:hAnsi="宋体"/>
                <w:color w:val="000000"/>
                <w:sz w:val="24"/>
                <w:lang w:val="en-US" w:eastAsia="zh-CN"/>
              </w:rPr>
              <w:t>产品数量、种类</w:t>
            </w:r>
            <w:r>
              <w:rPr>
                <w:rFonts w:hint="eastAsia" w:ascii="宋体" w:hAnsi="宋体"/>
                <w:color w:val="000000"/>
                <w:sz w:val="24"/>
              </w:rPr>
              <w:t>（满分</w:t>
            </w:r>
            <w:r>
              <w:rPr>
                <w:rFonts w:hint="eastAsia" w:ascii="宋体" w:hAnsi="宋体"/>
                <w:color w:val="000000"/>
                <w:sz w:val="24"/>
                <w:lang w:val="en-US" w:eastAsia="zh-CN"/>
              </w:rPr>
              <w:t>40</w:t>
            </w:r>
            <w:r>
              <w:rPr>
                <w:rFonts w:hint="eastAsia" w:ascii="宋体" w:hAnsi="宋体"/>
                <w:color w:val="000000"/>
                <w:sz w:val="24"/>
              </w:rPr>
              <w:t>分）</w:t>
            </w:r>
            <w:r>
              <w:rPr>
                <w:rFonts w:hint="eastAsia" w:ascii="宋体" w:hAnsi="宋体"/>
                <w:color w:val="000000"/>
                <w:sz w:val="24"/>
                <w:lang w:val="en-US" w:eastAsia="zh-CN"/>
              </w:rPr>
              <w:t>提供产品种类数量多样得满分，其余按提供数量种类、数量进行减分。</w:t>
            </w:r>
          </w:p>
        </w:tc>
        <w:tc>
          <w:tcPr>
            <w:tcW w:w="1154" w:type="dxa"/>
            <w:noWrap w:val="0"/>
            <w:vAlign w:val="center"/>
          </w:tcPr>
          <w:p w14:paraId="6689F7EE">
            <w:pPr>
              <w:spacing w:line="360" w:lineRule="auto"/>
              <w:jc w:val="center"/>
              <w:rPr>
                <w:rFonts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0</w:t>
            </w:r>
          </w:p>
        </w:tc>
      </w:tr>
      <w:tr w14:paraId="2B513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0" w:hRule="atLeast"/>
          <w:jc w:val="center"/>
        </w:trPr>
        <w:tc>
          <w:tcPr>
            <w:tcW w:w="704" w:type="dxa"/>
            <w:noWrap w:val="0"/>
            <w:vAlign w:val="center"/>
          </w:tcPr>
          <w:p w14:paraId="002CAA41">
            <w:pPr>
              <w:spacing w:line="360" w:lineRule="auto"/>
              <w:jc w:val="center"/>
              <w:rPr>
                <w:rFonts w:ascii="宋体" w:hAnsi="宋体"/>
                <w:color w:val="000000"/>
                <w:sz w:val="24"/>
              </w:rPr>
            </w:pPr>
            <w:r>
              <w:rPr>
                <w:rFonts w:hint="eastAsia" w:ascii="宋体" w:hAnsi="宋体"/>
                <w:color w:val="000000"/>
                <w:sz w:val="24"/>
              </w:rPr>
              <w:t>二</w:t>
            </w:r>
          </w:p>
        </w:tc>
        <w:tc>
          <w:tcPr>
            <w:tcW w:w="1276" w:type="dxa"/>
            <w:noWrap w:val="0"/>
            <w:vAlign w:val="center"/>
          </w:tcPr>
          <w:p w14:paraId="2ED486A9">
            <w:pPr>
              <w:spacing w:line="360" w:lineRule="auto"/>
              <w:jc w:val="center"/>
              <w:rPr>
                <w:rFonts w:ascii="宋体" w:hAnsi="宋体"/>
                <w:color w:val="000000"/>
                <w:sz w:val="24"/>
              </w:rPr>
            </w:pPr>
            <w:r>
              <w:rPr>
                <w:rFonts w:hint="eastAsia" w:ascii="宋体" w:hAnsi="宋体"/>
                <w:color w:val="000000"/>
                <w:sz w:val="24"/>
              </w:rPr>
              <w:t>产品质量、</w:t>
            </w:r>
            <w:r>
              <w:rPr>
                <w:rFonts w:hint="eastAsia" w:ascii="宋体" w:hAnsi="宋体"/>
                <w:color w:val="000000"/>
                <w:sz w:val="24"/>
                <w:lang w:val="en-US" w:eastAsia="zh-CN"/>
              </w:rPr>
              <w:t>品质</w:t>
            </w:r>
            <w:r>
              <w:rPr>
                <w:rFonts w:hint="eastAsia" w:ascii="宋体" w:hAnsi="宋体"/>
                <w:color w:val="000000"/>
                <w:sz w:val="24"/>
              </w:rPr>
              <w:t>（</w:t>
            </w:r>
            <w:r>
              <w:rPr>
                <w:rFonts w:hint="eastAsia" w:ascii="宋体" w:hAnsi="宋体"/>
                <w:color w:val="000000"/>
                <w:sz w:val="24"/>
                <w:lang w:val="en-US" w:eastAsia="zh-CN"/>
              </w:rPr>
              <w:t>45</w:t>
            </w:r>
            <w:r>
              <w:rPr>
                <w:rFonts w:hint="eastAsia" w:ascii="宋体" w:hAnsi="宋体"/>
                <w:color w:val="000000"/>
                <w:sz w:val="24"/>
              </w:rPr>
              <w:t>分）</w:t>
            </w:r>
          </w:p>
        </w:tc>
        <w:tc>
          <w:tcPr>
            <w:tcW w:w="6265" w:type="dxa"/>
            <w:noWrap w:val="0"/>
            <w:vAlign w:val="center"/>
          </w:tcPr>
          <w:p w14:paraId="6CA6C9D3">
            <w:pPr>
              <w:spacing w:line="360" w:lineRule="auto"/>
              <w:rPr>
                <w:rFonts w:hint="eastAsia" w:ascii="宋体" w:hAnsi="宋体"/>
                <w:color w:val="000000"/>
                <w:sz w:val="24"/>
              </w:rPr>
            </w:pPr>
            <w:r>
              <w:rPr>
                <w:rFonts w:hint="eastAsia" w:ascii="宋体" w:hAnsi="宋体"/>
                <w:color w:val="000000"/>
                <w:sz w:val="24"/>
              </w:rPr>
              <w:t>产品质量符合行业标准，质量安全可靠。品种丰富。</w:t>
            </w:r>
          </w:p>
          <w:p w14:paraId="4F69862D">
            <w:pPr>
              <w:spacing w:line="360" w:lineRule="auto"/>
              <w:rPr>
                <w:rFonts w:hint="default" w:ascii="宋体" w:hAnsi="宋体" w:eastAsia="宋体"/>
                <w:color w:val="000000"/>
                <w:sz w:val="24"/>
                <w:lang w:val="en-US" w:eastAsia="zh-CN"/>
              </w:rPr>
            </w:pPr>
            <w:r>
              <w:rPr>
                <w:rFonts w:hint="eastAsia" w:ascii="宋体" w:hAnsi="宋体"/>
                <w:color w:val="000000"/>
                <w:sz w:val="24"/>
              </w:rPr>
              <w:t>质量保证（满分</w:t>
            </w:r>
            <w:r>
              <w:rPr>
                <w:rFonts w:hint="eastAsia" w:ascii="宋体" w:hAnsi="宋体"/>
                <w:color w:val="000000"/>
                <w:sz w:val="24"/>
                <w:lang w:val="en-US" w:eastAsia="zh-CN"/>
              </w:rPr>
              <w:t>25</w:t>
            </w:r>
            <w:r>
              <w:rPr>
                <w:rFonts w:hint="eastAsia" w:ascii="宋体" w:hAnsi="宋体"/>
                <w:color w:val="000000"/>
                <w:sz w:val="24"/>
              </w:rPr>
              <w:t>分）投标产品具备正规食品生产许可证、批次质检报告、溯源资质，证件齐全有效得</w:t>
            </w:r>
            <w:r>
              <w:rPr>
                <w:rFonts w:hint="eastAsia" w:ascii="宋体" w:hAnsi="宋体"/>
                <w:color w:val="000000"/>
                <w:sz w:val="24"/>
                <w:lang w:val="en-US" w:eastAsia="zh-CN"/>
              </w:rPr>
              <w:t>15</w:t>
            </w:r>
            <w:r>
              <w:rPr>
                <w:rFonts w:hint="eastAsia" w:ascii="宋体" w:hAnsi="宋体"/>
                <w:color w:val="000000"/>
                <w:sz w:val="24"/>
              </w:rPr>
              <w:t>分，缺一项核心证件扣5分，证件过期、造假不得分。</w:t>
            </w:r>
            <w:r>
              <w:rPr>
                <w:rFonts w:ascii="宋体" w:hAnsi="宋体"/>
                <w:color w:val="000000"/>
                <w:sz w:val="24"/>
              </w:rPr>
              <w:br w:type="textWrapping"/>
            </w:r>
            <w:r>
              <w:rPr>
                <w:rFonts w:hint="eastAsia" w:ascii="宋体" w:hAnsi="宋体"/>
                <w:color w:val="000000"/>
                <w:sz w:val="24"/>
                <w:lang w:val="en-US" w:eastAsia="zh-CN"/>
              </w:rPr>
              <w:t>产品品质</w:t>
            </w:r>
            <w:r>
              <w:rPr>
                <w:rFonts w:hint="eastAsia" w:ascii="宋体" w:hAnsi="宋体"/>
                <w:color w:val="000000"/>
                <w:sz w:val="24"/>
              </w:rPr>
              <w:t>（满分</w:t>
            </w:r>
            <w:r>
              <w:rPr>
                <w:rFonts w:hint="eastAsia" w:ascii="宋体" w:hAnsi="宋体"/>
                <w:color w:val="000000"/>
                <w:sz w:val="24"/>
                <w:lang w:val="en-US" w:eastAsia="zh-CN"/>
              </w:rPr>
              <w:t>20</w:t>
            </w:r>
            <w:r>
              <w:rPr>
                <w:rFonts w:hint="eastAsia" w:ascii="宋体" w:hAnsi="宋体"/>
                <w:color w:val="000000"/>
                <w:sz w:val="24"/>
              </w:rPr>
              <w:t>分）：供应商现场提供实物样品，从礼盒包装工艺、材质安全性、食品配料合规性、保质期余量、品类丰富度综合评审。优质满分，品相良好得</w:t>
            </w:r>
            <w:r>
              <w:rPr>
                <w:rFonts w:hint="eastAsia" w:ascii="宋体" w:hAnsi="宋体"/>
                <w:color w:val="000000"/>
                <w:sz w:val="24"/>
                <w:lang w:val="en-US" w:eastAsia="zh-CN"/>
              </w:rPr>
              <w:t>15</w:t>
            </w:r>
            <w:r>
              <w:rPr>
                <w:rFonts w:hint="eastAsia" w:ascii="宋体" w:hAnsi="宋体"/>
                <w:color w:val="000000"/>
                <w:sz w:val="24"/>
              </w:rPr>
              <w:t>-</w:t>
            </w:r>
            <w:r>
              <w:rPr>
                <w:rFonts w:hint="eastAsia" w:ascii="宋体" w:hAnsi="宋体"/>
                <w:color w:val="000000"/>
                <w:sz w:val="24"/>
                <w:lang w:val="en-US" w:eastAsia="zh-CN"/>
              </w:rPr>
              <w:t>20</w:t>
            </w:r>
            <w:r>
              <w:rPr>
                <w:rFonts w:hint="eastAsia" w:ascii="宋体" w:hAnsi="宋体"/>
                <w:color w:val="000000"/>
                <w:sz w:val="24"/>
              </w:rPr>
              <w:t>分，品相一般得</w:t>
            </w:r>
            <w:r>
              <w:rPr>
                <w:rFonts w:hint="eastAsia" w:ascii="宋体" w:hAnsi="宋体"/>
                <w:color w:val="000000"/>
                <w:sz w:val="24"/>
                <w:lang w:val="en-US" w:eastAsia="zh-CN"/>
              </w:rPr>
              <w:t>7</w:t>
            </w:r>
            <w:r>
              <w:rPr>
                <w:rFonts w:hint="eastAsia" w:ascii="宋体" w:hAnsi="宋体"/>
                <w:color w:val="000000"/>
                <w:sz w:val="24"/>
              </w:rPr>
              <w:t>-</w:t>
            </w:r>
            <w:r>
              <w:rPr>
                <w:rFonts w:hint="eastAsia" w:ascii="宋体" w:hAnsi="宋体"/>
                <w:color w:val="000000"/>
                <w:sz w:val="24"/>
                <w:lang w:val="en-US" w:eastAsia="zh-CN"/>
              </w:rPr>
              <w:t>14</w:t>
            </w:r>
            <w:r>
              <w:rPr>
                <w:rFonts w:hint="eastAsia" w:ascii="宋体" w:hAnsi="宋体"/>
                <w:color w:val="000000"/>
                <w:sz w:val="24"/>
              </w:rPr>
              <w:t>分，劣质、不合规不得分。</w:t>
            </w:r>
          </w:p>
        </w:tc>
        <w:tc>
          <w:tcPr>
            <w:tcW w:w="1154" w:type="dxa"/>
            <w:noWrap w:val="0"/>
            <w:vAlign w:val="center"/>
          </w:tcPr>
          <w:p w14:paraId="53A72B7D">
            <w:pPr>
              <w:spacing w:line="360" w:lineRule="auto"/>
              <w:jc w:val="center"/>
              <w:rPr>
                <w:rFonts w:hint="default" w:ascii="宋体" w:hAnsi="宋体" w:eastAsia="宋体"/>
                <w:color w:val="000000"/>
                <w:sz w:val="24"/>
                <w:lang w:val="en-US" w:eastAsia="zh-CN"/>
              </w:rPr>
            </w:pPr>
            <w:r>
              <w:rPr>
                <w:rFonts w:hint="eastAsia" w:ascii="宋体" w:hAnsi="宋体"/>
                <w:color w:val="000000"/>
                <w:sz w:val="24"/>
                <w:lang w:val="en-US" w:eastAsia="zh-CN"/>
              </w:rPr>
              <w:t>45</w:t>
            </w:r>
          </w:p>
        </w:tc>
      </w:tr>
      <w:tr w14:paraId="5DB26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6" w:hRule="atLeast"/>
          <w:jc w:val="center"/>
        </w:trPr>
        <w:tc>
          <w:tcPr>
            <w:tcW w:w="704" w:type="dxa"/>
            <w:noWrap w:val="0"/>
            <w:vAlign w:val="center"/>
          </w:tcPr>
          <w:p w14:paraId="107AB822">
            <w:pPr>
              <w:spacing w:line="360" w:lineRule="auto"/>
              <w:jc w:val="center"/>
              <w:rPr>
                <w:rFonts w:ascii="宋体" w:hAnsi="宋体"/>
                <w:color w:val="000000"/>
                <w:sz w:val="24"/>
              </w:rPr>
            </w:pPr>
            <w:r>
              <w:rPr>
                <w:rFonts w:hint="eastAsia" w:ascii="宋体" w:hAnsi="宋体"/>
                <w:color w:val="000000"/>
                <w:sz w:val="24"/>
              </w:rPr>
              <w:t>三</w:t>
            </w:r>
          </w:p>
        </w:tc>
        <w:tc>
          <w:tcPr>
            <w:tcW w:w="1276" w:type="dxa"/>
            <w:noWrap w:val="0"/>
            <w:vAlign w:val="center"/>
          </w:tcPr>
          <w:p w14:paraId="0194B88A">
            <w:pPr>
              <w:rPr>
                <w:rFonts w:ascii="宋体" w:hAnsi="宋体"/>
                <w:sz w:val="24"/>
              </w:rPr>
            </w:pPr>
            <w:r>
              <w:rPr>
                <w:rFonts w:hint="eastAsia" w:ascii="宋体" w:hAnsi="宋体"/>
                <w:color w:val="000000"/>
                <w:sz w:val="24"/>
              </w:rPr>
              <w:t>企业资质（</w:t>
            </w:r>
            <w:r>
              <w:rPr>
                <w:rFonts w:hint="eastAsia" w:ascii="宋体" w:hAnsi="宋体"/>
                <w:color w:val="000000"/>
                <w:sz w:val="24"/>
                <w:lang w:val="en-US" w:eastAsia="zh-CN"/>
              </w:rPr>
              <w:t>5</w:t>
            </w:r>
            <w:r>
              <w:rPr>
                <w:rFonts w:hint="eastAsia" w:ascii="宋体" w:hAnsi="宋体"/>
                <w:color w:val="000000"/>
                <w:sz w:val="24"/>
              </w:rPr>
              <w:t>分）</w:t>
            </w:r>
          </w:p>
          <w:p w14:paraId="138B9AB4">
            <w:pPr>
              <w:rPr>
                <w:rFonts w:ascii="宋体" w:hAnsi="宋体"/>
                <w:sz w:val="24"/>
              </w:rPr>
            </w:pPr>
          </w:p>
        </w:tc>
        <w:tc>
          <w:tcPr>
            <w:tcW w:w="6265" w:type="dxa"/>
            <w:noWrap w:val="0"/>
            <w:vAlign w:val="center"/>
          </w:tcPr>
          <w:p w14:paraId="6AE00D3F">
            <w:pPr>
              <w:spacing w:line="360" w:lineRule="auto"/>
              <w:rPr>
                <w:rFonts w:ascii="宋体" w:hAnsi="宋体"/>
                <w:sz w:val="24"/>
              </w:rPr>
            </w:pPr>
            <w:r>
              <w:rPr>
                <w:rFonts w:hint="eastAsia" w:ascii="宋体" w:hAnsi="宋体"/>
                <w:sz w:val="24"/>
              </w:rPr>
              <w:t>具备食品安全信用等级、无食品安全违法违规记录得5分，有不良记录不得分</w:t>
            </w:r>
            <w:r>
              <w:rPr>
                <w:rFonts w:hint="eastAsia" w:ascii="宋体" w:hAnsi="宋体"/>
                <w:color w:val="000000"/>
                <w:sz w:val="24"/>
              </w:rPr>
              <w:t>。</w:t>
            </w:r>
          </w:p>
        </w:tc>
        <w:tc>
          <w:tcPr>
            <w:tcW w:w="1154" w:type="dxa"/>
            <w:noWrap w:val="0"/>
            <w:vAlign w:val="center"/>
          </w:tcPr>
          <w:p w14:paraId="75B6DC53">
            <w:pPr>
              <w:spacing w:line="360" w:lineRule="auto"/>
              <w:jc w:val="center"/>
              <w:rPr>
                <w:rFonts w:hint="eastAsia" w:ascii="宋体" w:hAnsi="宋体" w:eastAsia="宋体"/>
                <w:color w:val="000000"/>
                <w:sz w:val="24"/>
                <w:lang w:eastAsia="zh-CN"/>
              </w:rPr>
            </w:pPr>
            <w:r>
              <w:rPr>
                <w:rFonts w:hint="eastAsia" w:ascii="宋体" w:hAnsi="宋体"/>
                <w:color w:val="000000"/>
                <w:sz w:val="24"/>
                <w:lang w:val="en-US" w:eastAsia="zh-CN"/>
              </w:rPr>
              <w:t>5</w:t>
            </w:r>
          </w:p>
        </w:tc>
      </w:tr>
      <w:tr w14:paraId="2386F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5" w:hRule="atLeast"/>
          <w:jc w:val="center"/>
        </w:trPr>
        <w:tc>
          <w:tcPr>
            <w:tcW w:w="704" w:type="dxa"/>
            <w:noWrap w:val="0"/>
            <w:vAlign w:val="center"/>
          </w:tcPr>
          <w:p w14:paraId="1C492945">
            <w:pPr>
              <w:spacing w:line="360" w:lineRule="auto"/>
              <w:jc w:val="center"/>
              <w:rPr>
                <w:rFonts w:hint="eastAsia" w:ascii="宋体" w:hAnsi="宋体"/>
                <w:color w:val="000000"/>
                <w:sz w:val="24"/>
              </w:rPr>
            </w:pPr>
            <w:r>
              <w:rPr>
                <w:rFonts w:hint="eastAsia" w:ascii="宋体" w:hAnsi="宋体"/>
                <w:color w:val="000000"/>
                <w:sz w:val="24"/>
              </w:rPr>
              <w:t>四</w:t>
            </w:r>
          </w:p>
        </w:tc>
        <w:tc>
          <w:tcPr>
            <w:tcW w:w="1276" w:type="dxa"/>
            <w:noWrap w:val="0"/>
            <w:vAlign w:val="center"/>
          </w:tcPr>
          <w:p w14:paraId="586523A0">
            <w:pPr>
              <w:spacing w:line="360" w:lineRule="auto"/>
              <w:jc w:val="center"/>
              <w:rPr>
                <w:rFonts w:ascii="宋体" w:hAnsi="宋体"/>
                <w:color w:val="000000"/>
                <w:sz w:val="24"/>
              </w:rPr>
            </w:pPr>
            <w:r>
              <w:rPr>
                <w:rFonts w:hint="eastAsia" w:ascii="宋体" w:hAnsi="宋体"/>
                <w:color w:val="000000"/>
                <w:sz w:val="24"/>
              </w:rPr>
              <w:t>供货服务方案</w:t>
            </w:r>
          </w:p>
          <w:p w14:paraId="0403EEBE">
            <w:pPr>
              <w:rPr>
                <w:rFonts w:ascii="宋体" w:hAnsi="宋体"/>
                <w:sz w:val="24"/>
              </w:rPr>
            </w:pPr>
            <w:r>
              <w:rPr>
                <w:rFonts w:hint="eastAsia" w:ascii="宋体" w:hAnsi="宋体"/>
                <w:color w:val="000000"/>
                <w:sz w:val="24"/>
              </w:rPr>
              <w:t>（5分）</w:t>
            </w:r>
          </w:p>
          <w:p w14:paraId="1D1B69C1">
            <w:pPr>
              <w:rPr>
                <w:rFonts w:hint="eastAsia" w:ascii="宋体" w:hAnsi="宋体"/>
                <w:sz w:val="24"/>
              </w:rPr>
            </w:pPr>
          </w:p>
        </w:tc>
        <w:tc>
          <w:tcPr>
            <w:tcW w:w="6265" w:type="dxa"/>
            <w:noWrap w:val="0"/>
            <w:vAlign w:val="center"/>
          </w:tcPr>
          <w:p w14:paraId="10C68003">
            <w:pPr>
              <w:spacing w:line="240" w:lineRule="atLeast"/>
              <w:outlineLvl w:val="0"/>
              <w:rPr>
                <w:rFonts w:hint="eastAsia" w:ascii="宋体" w:hAnsi="宋体"/>
                <w:sz w:val="24"/>
              </w:rPr>
            </w:pPr>
            <w:r>
              <w:rPr>
                <w:rFonts w:hint="eastAsia"/>
                <w:sz w:val="24"/>
              </w:rPr>
              <w:t>针对本次供货，制定专项供货方案，包含备货能力、分拣包装、按期配送、现场对接、应急补货等内容。方案完整、流程清晰、可落地性强得</w:t>
            </w:r>
            <w:r>
              <w:rPr>
                <w:rFonts w:hint="eastAsia"/>
                <w:sz w:val="24"/>
                <w:lang w:val="en-US" w:eastAsia="zh-CN"/>
              </w:rPr>
              <w:t>5</w:t>
            </w:r>
            <w:r>
              <w:rPr>
                <w:rFonts w:hint="eastAsia"/>
                <w:sz w:val="24"/>
              </w:rPr>
              <w:t>分；方案基本完整</w:t>
            </w:r>
            <w:r>
              <w:rPr>
                <w:rFonts w:hint="eastAsia"/>
                <w:sz w:val="24"/>
                <w:lang w:eastAsia="zh-CN"/>
              </w:rPr>
              <w:t>，</w:t>
            </w:r>
            <w:r>
              <w:rPr>
                <w:rFonts w:hint="eastAsia"/>
                <w:sz w:val="24"/>
                <w:lang w:val="en-US" w:eastAsia="zh-CN"/>
              </w:rPr>
              <w:t>缺一项扣1分，</w:t>
            </w:r>
            <w:r>
              <w:rPr>
                <w:rFonts w:hint="eastAsia"/>
                <w:sz w:val="24"/>
              </w:rPr>
              <w:t>；无方案不得分。</w:t>
            </w:r>
          </w:p>
        </w:tc>
        <w:tc>
          <w:tcPr>
            <w:tcW w:w="1154" w:type="dxa"/>
            <w:noWrap w:val="0"/>
            <w:vAlign w:val="center"/>
          </w:tcPr>
          <w:p w14:paraId="3DA962D5">
            <w:pPr>
              <w:spacing w:line="360" w:lineRule="auto"/>
              <w:jc w:val="center"/>
              <w:rPr>
                <w:rFonts w:hint="eastAsia" w:ascii="宋体" w:hAnsi="宋体"/>
                <w:color w:val="000000"/>
                <w:sz w:val="24"/>
              </w:rPr>
            </w:pPr>
            <w:r>
              <w:rPr>
                <w:rFonts w:hint="eastAsia" w:ascii="宋体" w:hAnsi="宋体"/>
                <w:color w:val="000000"/>
                <w:sz w:val="24"/>
              </w:rPr>
              <w:t>5</w:t>
            </w:r>
          </w:p>
        </w:tc>
      </w:tr>
      <w:tr w14:paraId="0E4FC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9" w:hRule="atLeast"/>
          <w:jc w:val="center"/>
        </w:trPr>
        <w:tc>
          <w:tcPr>
            <w:tcW w:w="704" w:type="dxa"/>
            <w:noWrap w:val="0"/>
            <w:vAlign w:val="center"/>
          </w:tcPr>
          <w:p w14:paraId="6E76AD03">
            <w:pPr>
              <w:spacing w:line="360" w:lineRule="auto"/>
              <w:jc w:val="center"/>
              <w:rPr>
                <w:rFonts w:ascii="宋体" w:hAnsi="宋体"/>
                <w:color w:val="000000"/>
                <w:sz w:val="24"/>
              </w:rPr>
            </w:pPr>
            <w:r>
              <w:rPr>
                <w:rFonts w:hint="eastAsia" w:ascii="宋体" w:hAnsi="宋体"/>
                <w:color w:val="000000"/>
                <w:sz w:val="24"/>
              </w:rPr>
              <w:t>五</w:t>
            </w:r>
          </w:p>
        </w:tc>
        <w:tc>
          <w:tcPr>
            <w:tcW w:w="1276" w:type="dxa"/>
            <w:noWrap w:val="0"/>
            <w:vAlign w:val="center"/>
          </w:tcPr>
          <w:p w14:paraId="1F4E36CA">
            <w:pPr>
              <w:spacing w:line="360" w:lineRule="auto"/>
              <w:jc w:val="center"/>
              <w:rPr>
                <w:rFonts w:ascii="宋体" w:hAnsi="宋体"/>
                <w:color w:val="000000"/>
                <w:sz w:val="24"/>
              </w:rPr>
            </w:pPr>
            <w:r>
              <w:rPr>
                <w:rFonts w:hint="eastAsia" w:ascii="宋体" w:hAnsi="宋体"/>
                <w:color w:val="000000"/>
                <w:sz w:val="24"/>
              </w:rPr>
              <w:t>售后服务</w:t>
            </w:r>
          </w:p>
          <w:p w14:paraId="349F9A29">
            <w:pPr>
              <w:rPr>
                <w:rFonts w:ascii="宋体" w:hAnsi="宋体"/>
                <w:sz w:val="24"/>
              </w:rPr>
            </w:pPr>
            <w:r>
              <w:rPr>
                <w:rFonts w:hint="eastAsia" w:ascii="宋体" w:hAnsi="宋体"/>
                <w:color w:val="000000"/>
                <w:sz w:val="24"/>
              </w:rPr>
              <w:t>（</w:t>
            </w:r>
            <w:r>
              <w:rPr>
                <w:rFonts w:hint="eastAsia" w:ascii="宋体" w:hAnsi="宋体"/>
                <w:color w:val="000000"/>
                <w:sz w:val="24"/>
                <w:lang w:val="en-US" w:eastAsia="zh-CN"/>
              </w:rPr>
              <w:t>5</w:t>
            </w:r>
            <w:r>
              <w:rPr>
                <w:rFonts w:hint="eastAsia" w:ascii="宋体" w:hAnsi="宋体"/>
                <w:color w:val="000000"/>
                <w:sz w:val="24"/>
              </w:rPr>
              <w:t>分）</w:t>
            </w:r>
          </w:p>
          <w:p w14:paraId="54DA57A8">
            <w:pPr>
              <w:rPr>
                <w:rFonts w:ascii="宋体" w:hAnsi="宋体"/>
                <w:sz w:val="24"/>
              </w:rPr>
            </w:pPr>
          </w:p>
        </w:tc>
        <w:tc>
          <w:tcPr>
            <w:tcW w:w="6265" w:type="dxa"/>
            <w:noWrap w:val="0"/>
            <w:vAlign w:val="center"/>
          </w:tcPr>
          <w:p w14:paraId="2C9368F0">
            <w:pPr>
              <w:spacing w:line="360" w:lineRule="auto"/>
              <w:rPr>
                <w:rFonts w:ascii="宋体" w:hAnsi="宋体" w:cs="Arial"/>
                <w:bCs/>
                <w:color w:val="000000"/>
                <w:sz w:val="24"/>
              </w:rPr>
            </w:pPr>
            <w:r>
              <w:rPr>
                <w:rFonts w:hint="eastAsia"/>
                <w:sz w:val="24"/>
              </w:rPr>
              <w:t>承诺产品质量问题无条件退换货、到货验收、售后专人对接、24小时售后响应、过期破损兜底赔付，服务承诺完整全面得5分，缺一项核心服务扣2分，无售后承诺不得分。</w:t>
            </w:r>
          </w:p>
        </w:tc>
        <w:tc>
          <w:tcPr>
            <w:tcW w:w="1154" w:type="dxa"/>
            <w:noWrap w:val="0"/>
            <w:vAlign w:val="center"/>
          </w:tcPr>
          <w:p w14:paraId="225E0E41">
            <w:pPr>
              <w:spacing w:line="360" w:lineRule="auto"/>
              <w:jc w:val="center"/>
              <w:rPr>
                <w:rFonts w:hint="eastAsia" w:ascii="宋体" w:hAnsi="宋体" w:eastAsia="宋体"/>
                <w:color w:val="000000"/>
                <w:sz w:val="24"/>
                <w:lang w:eastAsia="zh-CN"/>
              </w:rPr>
            </w:pPr>
            <w:r>
              <w:rPr>
                <w:rFonts w:hint="eastAsia" w:ascii="宋体" w:hAnsi="宋体"/>
                <w:color w:val="000000"/>
                <w:sz w:val="24"/>
                <w:lang w:val="en-US" w:eastAsia="zh-CN"/>
              </w:rPr>
              <w:t>5</w:t>
            </w:r>
          </w:p>
        </w:tc>
      </w:tr>
    </w:tbl>
    <w:p w14:paraId="2025B791">
      <w:pPr>
        <w:adjustRightInd w:val="0"/>
        <w:snapToGrid w:val="0"/>
        <w:ind w:firstLine="482"/>
        <w:rPr>
          <w:rFonts w:hint="default" w:ascii="宋体" w:hAnsi="宋体"/>
          <w:b/>
          <w:sz w:val="24"/>
          <w:szCs w:val="24"/>
          <w:lang w:val="en-US" w:eastAsia="zh-CN"/>
        </w:rPr>
      </w:pPr>
      <w:r>
        <w:rPr>
          <w:rFonts w:hint="eastAsia" w:ascii="宋体" w:hAnsi="宋体"/>
          <w:b/>
          <w:sz w:val="24"/>
          <w:szCs w:val="24"/>
          <w:lang w:val="en-US" w:eastAsia="zh-CN"/>
        </w:rPr>
        <w:t>一、评标准则</w:t>
      </w:r>
    </w:p>
    <w:p w14:paraId="0F598804">
      <w:pPr>
        <w:adjustRightInd w:val="0"/>
        <w:snapToGrid w:val="0"/>
        <w:ind w:firstLine="480"/>
        <w:rPr>
          <w:rFonts w:ascii="宋体" w:hAnsi="宋体"/>
          <w:sz w:val="24"/>
          <w:szCs w:val="24"/>
        </w:rPr>
      </w:pPr>
      <w:r>
        <w:rPr>
          <w:rFonts w:hint="eastAsia" w:ascii="宋体" w:hAnsi="宋体"/>
          <w:sz w:val="24"/>
          <w:szCs w:val="24"/>
          <w:lang w:val="en-US" w:eastAsia="zh-CN"/>
        </w:rPr>
        <w:t>1</w:t>
      </w:r>
      <w:bookmarkStart w:id="0" w:name="_GoBack"/>
      <w:bookmarkEnd w:id="0"/>
      <w:r>
        <w:rPr>
          <w:rFonts w:hint="eastAsia" w:ascii="宋体" w:hAnsi="宋体"/>
          <w:sz w:val="24"/>
          <w:szCs w:val="24"/>
        </w:rPr>
        <w:t>、评标原则</w:t>
      </w:r>
    </w:p>
    <w:p w14:paraId="34CE00E0">
      <w:pPr>
        <w:adjustRightInd w:val="0"/>
        <w:snapToGrid w:val="0"/>
        <w:ind w:firstLine="480"/>
        <w:rPr>
          <w:rFonts w:ascii="宋体" w:hAnsi="宋体"/>
          <w:sz w:val="24"/>
          <w:szCs w:val="24"/>
        </w:rPr>
      </w:pPr>
      <w:r>
        <w:rPr>
          <w:rFonts w:hint="eastAsia" w:ascii="宋体" w:hAnsi="宋体"/>
          <w:sz w:val="24"/>
          <w:szCs w:val="24"/>
        </w:rPr>
        <w:t>（1）投标人提交的投标文件应符合招标文件的规定和要求。</w:t>
      </w:r>
    </w:p>
    <w:p w14:paraId="76AF7799">
      <w:pPr>
        <w:adjustRightInd w:val="0"/>
        <w:snapToGrid w:val="0"/>
        <w:ind w:firstLine="480"/>
        <w:rPr>
          <w:rFonts w:ascii="宋体" w:hAnsi="宋体"/>
          <w:sz w:val="24"/>
          <w:szCs w:val="24"/>
        </w:rPr>
      </w:pPr>
      <w:r>
        <w:rPr>
          <w:rFonts w:hint="eastAsia" w:ascii="宋体" w:hAnsi="宋体"/>
          <w:sz w:val="24"/>
          <w:szCs w:val="24"/>
        </w:rPr>
        <w:t>（2）评标活动遵循公平、公正、科学、择优的原则。</w:t>
      </w:r>
    </w:p>
    <w:p w14:paraId="7BDDF9B4">
      <w:pPr>
        <w:adjustRightInd w:val="0"/>
        <w:snapToGrid w:val="0"/>
        <w:ind w:firstLine="480"/>
        <w:rPr>
          <w:rFonts w:ascii="宋体" w:hAnsi="宋体"/>
          <w:sz w:val="24"/>
          <w:szCs w:val="24"/>
        </w:rPr>
      </w:pPr>
      <w:r>
        <w:rPr>
          <w:rFonts w:hint="eastAsia" w:ascii="宋体" w:hAnsi="宋体"/>
          <w:sz w:val="24"/>
          <w:szCs w:val="24"/>
        </w:rPr>
        <w:t>（3）本评标办法未尽事宜以现行招标投标法律法规为准。</w:t>
      </w:r>
    </w:p>
    <w:p w14:paraId="090431D3">
      <w:pPr>
        <w:adjustRightInd w:val="0"/>
        <w:snapToGrid w:val="0"/>
        <w:ind w:firstLine="482"/>
        <w:rPr>
          <w:rFonts w:ascii="宋体" w:hAnsi="宋体"/>
          <w:b/>
          <w:sz w:val="24"/>
          <w:szCs w:val="24"/>
        </w:rPr>
      </w:pPr>
      <w:r>
        <w:rPr>
          <w:rFonts w:hint="eastAsia" w:ascii="宋体" w:hAnsi="宋体"/>
          <w:b/>
          <w:sz w:val="24"/>
          <w:szCs w:val="24"/>
          <w:lang w:val="en-US" w:eastAsia="zh-CN"/>
        </w:rPr>
        <w:t>二</w:t>
      </w:r>
      <w:r>
        <w:rPr>
          <w:rFonts w:hint="eastAsia" w:ascii="宋体" w:hAnsi="宋体"/>
          <w:b/>
          <w:sz w:val="24"/>
          <w:szCs w:val="24"/>
        </w:rPr>
        <w:t>、评标程序及具体办法</w:t>
      </w:r>
    </w:p>
    <w:p w14:paraId="48B08A8F">
      <w:pPr>
        <w:adjustRightInd w:val="0"/>
        <w:snapToGrid w:val="0"/>
        <w:ind w:firstLine="480"/>
        <w:rPr>
          <w:rFonts w:ascii="宋体" w:hAnsi="宋体"/>
          <w:sz w:val="24"/>
          <w:szCs w:val="24"/>
        </w:rPr>
      </w:pPr>
      <w:r>
        <w:rPr>
          <w:rFonts w:hint="eastAsia" w:ascii="宋体" w:hAnsi="宋体"/>
          <w:sz w:val="24"/>
          <w:szCs w:val="24"/>
        </w:rPr>
        <w:t>1、评标委员会对实质性响应招标文件的投标文件进行评价和比较。</w:t>
      </w:r>
    </w:p>
    <w:p w14:paraId="2F8A0267">
      <w:pPr>
        <w:adjustRightInd w:val="0"/>
        <w:snapToGrid w:val="0"/>
        <w:ind w:firstLine="480"/>
        <w:rPr>
          <w:rFonts w:ascii="宋体" w:hAnsi="宋体"/>
          <w:sz w:val="24"/>
          <w:szCs w:val="24"/>
        </w:rPr>
      </w:pPr>
      <w:r>
        <w:rPr>
          <w:rFonts w:hint="eastAsia" w:ascii="宋体" w:hAnsi="宋体"/>
          <w:sz w:val="24"/>
          <w:szCs w:val="24"/>
        </w:rPr>
        <w:t>2、本次招标采取打分的办法进行评标，满分为100分。评标委员会从以下几方面对标段的投标文件分别进行详细评审和打分，并根据总得分高低分别进行排名，确定中标人1名。</w:t>
      </w:r>
    </w:p>
    <w:p w14:paraId="2A96BE82">
      <w:pPr>
        <w:adjustRightInd w:val="0"/>
        <w:snapToGrid w:val="0"/>
        <w:ind w:firstLine="480"/>
        <w:rPr>
          <w:rFonts w:ascii="宋体" w:hAnsi="宋体"/>
          <w:sz w:val="24"/>
          <w:szCs w:val="24"/>
        </w:rPr>
      </w:pPr>
      <w:r>
        <w:rPr>
          <w:rFonts w:hint="eastAsia" w:ascii="宋体" w:hAnsi="宋体"/>
          <w:sz w:val="24"/>
          <w:szCs w:val="24"/>
        </w:rPr>
        <w:t>3、具体打分办法如上表。</w:t>
      </w:r>
    </w:p>
    <w:p w14:paraId="7B658D0E">
      <w:pPr>
        <w:adjustRightInd w:val="0"/>
        <w:snapToGrid w:val="0"/>
        <w:ind w:firstLine="482"/>
        <w:rPr>
          <w:rFonts w:ascii="宋体" w:hAnsi="宋体"/>
          <w:b/>
          <w:sz w:val="24"/>
          <w:szCs w:val="24"/>
        </w:rPr>
      </w:pPr>
      <w:r>
        <w:rPr>
          <w:rFonts w:hint="eastAsia" w:ascii="宋体" w:hAnsi="宋体"/>
          <w:b/>
          <w:sz w:val="24"/>
          <w:szCs w:val="24"/>
          <w:lang w:val="en-US" w:eastAsia="zh-CN"/>
        </w:rPr>
        <w:t>三</w:t>
      </w:r>
      <w:r>
        <w:rPr>
          <w:rFonts w:hint="eastAsia" w:ascii="宋体" w:hAnsi="宋体"/>
          <w:b/>
          <w:sz w:val="24"/>
          <w:szCs w:val="24"/>
        </w:rPr>
        <w:t>、计分办法</w:t>
      </w:r>
    </w:p>
    <w:p w14:paraId="68602D50">
      <w:pPr>
        <w:adjustRightInd w:val="0"/>
        <w:snapToGrid w:val="0"/>
        <w:ind w:firstLine="48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评标委员会成员按照招标文件和本办法上述有关规定,给各投标文件评分。</w:t>
      </w:r>
    </w:p>
    <w:p w14:paraId="20282CB5">
      <w:pPr>
        <w:adjustRightInd w:val="0"/>
        <w:snapToGrid w:val="0"/>
        <w:ind w:firstLine="48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各投标人的得分为各评委所评定分数的算术平均值。</w:t>
      </w:r>
    </w:p>
    <w:p w14:paraId="60497737">
      <w:pPr>
        <w:adjustRightInd w:val="0"/>
        <w:snapToGrid w:val="0"/>
        <w:ind w:firstLine="480"/>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各项统计、评分结果均按四舍五入方法精确到小数点后两位。</w:t>
      </w:r>
    </w:p>
    <w:p w14:paraId="4D10AA85">
      <w:r>
        <w:rPr>
          <w:rFonts w:hint="eastAsia" w:ascii="宋体" w:hAnsi="宋体"/>
          <w:sz w:val="24"/>
          <w:szCs w:val="24"/>
          <w:lang w:val="en-US" w:eastAsia="zh-CN"/>
        </w:rPr>
        <w:t>4、</w:t>
      </w:r>
      <w:r>
        <w:rPr>
          <w:rFonts w:hint="eastAsia" w:ascii="宋体" w:hAnsi="宋体"/>
          <w:sz w:val="24"/>
          <w:szCs w:val="24"/>
        </w:rPr>
        <w:t>评标委员会根据各投标人投标的最终评分,按高低次序确定投标人最终的排列名次。如果投标人的最终评分相同，则投标报价低的投标人排名优先。</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44FFD"/>
    <w:rsid w:val="2F044FFD"/>
    <w:rsid w:val="4F584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2026-06-01T08:08:00Z</dcterms:created>
  <dc:creator>1</dc:creator>
  <cp:lastModifiedBy>1</cp:lastModifiedBy>
  <dcterms:modified xsi:type="dcterms:W3CDTF">2026-06-01T08:37:20Z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3B19E34BD2C448F1953B5E8E297F1ED9_11</vt:lpwstr>
  </property>
  <property fmtid="{D5CDD505-2E9C-101B-9397-08002B2CF9AE}" pid="4" name="KSOTemplateDocerSaveRecord">
    <vt:lpwstr>eyJoZGlkIjoiZWQ4Zjg5ZjNhMTI4MzZjOTllNGRlMThlZWVlOTA3NDAiLCJ1c2VySWQiOiI3NTUzNDA0NDMifQ==</vt:lpwstr>
  </property>
</Properties>
</file>