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732" w:type="pct"/>
        <w:tblInd w:w="-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165"/>
        <w:gridCol w:w="6050"/>
        <w:gridCol w:w="1409"/>
      </w:tblGrid>
      <w:tr w14:paraId="7F66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6" w:type="pct"/>
            <w:vAlign w:val="center"/>
          </w:tcPr>
          <w:p w14:paraId="6F1AA5C5">
            <w:pPr>
              <w:spacing w:line="240" w:lineRule="auto"/>
              <w:ind w:firstLine="0" w:firstLineChars="0"/>
              <w:jc w:val="center"/>
              <w:rPr>
                <w:rFonts w:ascii="宋体" w:hAnsi="宋体" w:cs="宋体"/>
                <w:b/>
                <w:sz w:val="22"/>
              </w:rPr>
            </w:pPr>
            <w:bookmarkStart w:id="0" w:name="_Toc9990"/>
            <w:bookmarkStart w:id="1" w:name="_Toc506205272"/>
            <w:r>
              <w:rPr>
                <w:rFonts w:hint="eastAsia" w:ascii="宋体" w:hAnsi="宋体" w:cs="宋体"/>
                <w:b/>
                <w:sz w:val="22"/>
              </w:rPr>
              <w:t>序号</w:t>
            </w:r>
          </w:p>
        </w:tc>
        <w:tc>
          <w:tcPr>
            <w:tcW w:w="3692" w:type="pct"/>
            <w:gridSpan w:val="2"/>
            <w:vAlign w:val="center"/>
          </w:tcPr>
          <w:p w14:paraId="2548C479">
            <w:pPr>
              <w:spacing w:line="240" w:lineRule="auto"/>
              <w:ind w:firstLine="0" w:firstLineChars="0"/>
              <w:jc w:val="center"/>
              <w:rPr>
                <w:rFonts w:ascii="宋体" w:hAnsi="宋体" w:cs="宋体"/>
                <w:b/>
                <w:sz w:val="22"/>
              </w:rPr>
            </w:pPr>
            <w:r>
              <w:rPr>
                <w:rFonts w:hint="eastAsia" w:ascii="宋体" w:hAnsi="宋体" w:cs="宋体"/>
                <w:b/>
                <w:sz w:val="22"/>
              </w:rPr>
              <w:t>评 分 细 则</w:t>
            </w:r>
          </w:p>
        </w:tc>
        <w:tc>
          <w:tcPr>
            <w:tcW w:w="721" w:type="pct"/>
            <w:vAlign w:val="center"/>
          </w:tcPr>
          <w:p w14:paraId="237F3951">
            <w:pPr>
              <w:spacing w:line="240" w:lineRule="auto"/>
              <w:ind w:firstLine="0" w:firstLineChars="0"/>
              <w:jc w:val="center"/>
              <w:rPr>
                <w:rFonts w:ascii="宋体" w:hAnsi="宋体" w:cs="宋体"/>
                <w:b/>
                <w:sz w:val="22"/>
              </w:rPr>
            </w:pPr>
            <w:r>
              <w:rPr>
                <w:rFonts w:hint="eastAsia" w:ascii="宋体" w:hAnsi="宋体" w:cs="宋体"/>
                <w:b/>
                <w:sz w:val="22"/>
              </w:rPr>
              <w:t>分值</w:t>
            </w:r>
          </w:p>
        </w:tc>
      </w:tr>
      <w:tr w14:paraId="20AA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86" w:type="pct"/>
            <w:vAlign w:val="center"/>
          </w:tcPr>
          <w:p w14:paraId="1D0377D9">
            <w:pPr>
              <w:spacing w:line="240" w:lineRule="auto"/>
              <w:ind w:firstLine="0" w:firstLineChars="0"/>
              <w:jc w:val="center"/>
              <w:rPr>
                <w:rFonts w:ascii="宋体" w:hAnsi="宋体" w:cs="宋体"/>
                <w:sz w:val="22"/>
              </w:rPr>
            </w:pPr>
            <w:r>
              <w:rPr>
                <w:rFonts w:hint="eastAsia" w:ascii="宋体" w:hAnsi="宋体" w:cs="宋体"/>
                <w:sz w:val="22"/>
              </w:rPr>
              <w:t>1</w:t>
            </w:r>
          </w:p>
        </w:tc>
        <w:tc>
          <w:tcPr>
            <w:tcW w:w="596" w:type="pct"/>
            <w:vAlign w:val="center"/>
          </w:tcPr>
          <w:p w14:paraId="525DB8E9">
            <w:pPr>
              <w:spacing w:line="240" w:lineRule="auto"/>
              <w:ind w:firstLine="0" w:firstLineChars="0"/>
              <w:jc w:val="center"/>
              <w:rPr>
                <w:rFonts w:ascii="宋体" w:hAnsi="宋体" w:cs="宋体"/>
                <w:sz w:val="22"/>
              </w:rPr>
            </w:pPr>
            <w:r>
              <w:rPr>
                <w:rFonts w:hint="eastAsia" w:ascii="宋体" w:hAnsi="宋体" w:cs="宋体"/>
                <w:sz w:val="22"/>
              </w:rPr>
              <w:t>价格分</w:t>
            </w:r>
          </w:p>
          <w:p w14:paraId="46AAE17C">
            <w:pPr>
              <w:spacing w:line="240" w:lineRule="auto"/>
              <w:ind w:firstLine="0" w:firstLineChars="0"/>
              <w:jc w:val="center"/>
              <w:rPr>
                <w:rFonts w:ascii="宋体" w:hAnsi="宋体" w:cs="宋体"/>
                <w:sz w:val="22"/>
              </w:rPr>
            </w:pPr>
            <w:r>
              <w:rPr>
                <w:rFonts w:hint="eastAsia" w:ascii="宋体" w:hAnsi="宋体" w:cs="宋体"/>
                <w:sz w:val="22"/>
                <w:lang w:val="en-US" w:eastAsia="zh-CN"/>
              </w:rPr>
              <w:t>4</w:t>
            </w:r>
            <w:r>
              <w:rPr>
                <w:rFonts w:hint="eastAsia" w:ascii="宋体" w:hAnsi="宋体" w:cs="宋体"/>
                <w:sz w:val="22"/>
              </w:rPr>
              <w:t>0分</w:t>
            </w:r>
          </w:p>
        </w:tc>
        <w:tc>
          <w:tcPr>
            <w:tcW w:w="3096" w:type="pct"/>
            <w:vAlign w:val="center"/>
          </w:tcPr>
          <w:p w14:paraId="4BEE3892">
            <w:pPr>
              <w:ind w:firstLine="0" w:firstLineChars="0"/>
              <w:jc w:val="left"/>
              <w:rPr>
                <w:rFonts w:ascii="宋体" w:hAnsi="宋体" w:cs="宋体"/>
                <w:sz w:val="22"/>
              </w:rPr>
            </w:pPr>
            <w:r>
              <w:rPr>
                <w:rFonts w:hint="eastAsia" w:ascii="宋体" w:hAnsi="宋体" w:cs="宋体"/>
                <w:kern w:val="0"/>
                <w:sz w:val="22"/>
              </w:rPr>
              <w:t>采用低价优先法计算，即满足招标文件要求且投标价格最低的投标报价为评标基准价，其价格分为满分。其他供应商的价格分按照下列公式计算（小数点保留二位）：投标报价得分=(评标基准价／投标报价)×</w:t>
            </w:r>
            <w:r>
              <w:rPr>
                <w:rFonts w:hint="eastAsia" w:ascii="宋体" w:hAnsi="宋体" w:cs="宋体"/>
                <w:kern w:val="0"/>
                <w:sz w:val="22"/>
                <w:lang w:val="en-US" w:eastAsia="zh-CN"/>
              </w:rPr>
              <w:t>4</w:t>
            </w:r>
            <w:r>
              <w:rPr>
                <w:rFonts w:hint="eastAsia" w:ascii="宋体" w:hAnsi="宋体" w:cs="宋体"/>
                <w:kern w:val="0"/>
                <w:sz w:val="22"/>
              </w:rPr>
              <w:t>0</w:t>
            </w:r>
            <w:r>
              <w:rPr>
                <w:rFonts w:hint="eastAsia" w:ascii="仿宋" w:hAnsi="仿宋" w:eastAsia="仿宋"/>
                <w:sz w:val="18"/>
                <w:szCs w:val="18"/>
              </w:rPr>
              <w:t>。</w:t>
            </w:r>
          </w:p>
        </w:tc>
        <w:tc>
          <w:tcPr>
            <w:tcW w:w="721" w:type="pct"/>
            <w:vAlign w:val="center"/>
          </w:tcPr>
          <w:p w14:paraId="1CF928B6">
            <w:pPr>
              <w:spacing w:line="240" w:lineRule="auto"/>
              <w:ind w:firstLine="0" w:firstLineChars="0"/>
              <w:jc w:val="center"/>
              <w:rPr>
                <w:rFonts w:ascii="宋体" w:hAnsi="宋体" w:cs="宋体"/>
                <w:sz w:val="22"/>
              </w:rPr>
            </w:pPr>
            <w:r>
              <w:rPr>
                <w:rFonts w:hint="eastAsia" w:ascii="宋体" w:hAnsi="宋体" w:cs="宋体"/>
                <w:sz w:val="22"/>
                <w:lang w:val="en-US" w:eastAsia="zh-CN"/>
              </w:rPr>
              <w:t>4</w:t>
            </w:r>
            <w:r>
              <w:rPr>
                <w:rFonts w:hint="eastAsia" w:ascii="宋体" w:hAnsi="宋体" w:cs="宋体"/>
                <w:sz w:val="22"/>
              </w:rPr>
              <w:t>0分</w:t>
            </w:r>
          </w:p>
        </w:tc>
      </w:tr>
      <w:tr w14:paraId="6469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86" w:type="pct"/>
            <w:vAlign w:val="center"/>
          </w:tcPr>
          <w:p w14:paraId="58FA2A2F">
            <w:pPr>
              <w:spacing w:line="240" w:lineRule="auto"/>
              <w:ind w:firstLine="0" w:firstLineChars="0"/>
              <w:jc w:val="center"/>
              <w:rPr>
                <w:rFonts w:ascii="宋体" w:hAnsi="宋体" w:cs="宋体"/>
                <w:sz w:val="22"/>
              </w:rPr>
            </w:pPr>
            <w:r>
              <w:rPr>
                <w:rFonts w:hint="eastAsia" w:ascii="宋体" w:hAnsi="宋体" w:cs="宋体"/>
                <w:sz w:val="22"/>
              </w:rPr>
              <w:t>2</w:t>
            </w:r>
          </w:p>
        </w:tc>
        <w:tc>
          <w:tcPr>
            <w:tcW w:w="596" w:type="pct"/>
            <w:vAlign w:val="center"/>
          </w:tcPr>
          <w:p w14:paraId="63A493F6">
            <w:pPr>
              <w:ind w:firstLine="0" w:firstLineChars="0"/>
              <w:jc w:val="center"/>
              <w:rPr>
                <w:rFonts w:ascii="宋体" w:hAnsi="宋体" w:cs="宋体"/>
                <w:bCs/>
                <w:sz w:val="22"/>
              </w:rPr>
            </w:pPr>
            <w:r>
              <w:rPr>
                <w:rFonts w:hint="eastAsia" w:ascii="宋体" w:hAnsi="宋体" w:cs="宋体"/>
                <w:bCs/>
                <w:sz w:val="22"/>
              </w:rPr>
              <w:t>技术参数响应</w:t>
            </w:r>
          </w:p>
          <w:p w14:paraId="2CD3CA88">
            <w:pPr>
              <w:spacing w:line="240" w:lineRule="auto"/>
              <w:ind w:firstLine="0" w:firstLineChars="0"/>
              <w:jc w:val="center"/>
              <w:rPr>
                <w:rFonts w:ascii="宋体" w:hAnsi="宋体" w:cs="宋体"/>
                <w:sz w:val="22"/>
              </w:rPr>
            </w:pPr>
            <w:r>
              <w:rPr>
                <w:rFonts w:hint="eastAsia" w:ascii="宋体" w:hAnsi="宋体" w:cs="宋体"/>
                <w:sz w:val="22"/>
              </w:rPr>
              <w:t>10分</w:t>
            </w:r>
          </w:p>
        </w:tc>
        <w:tc>
          <w:tcPr>
            <w:tcW w:w="3096" w:type="pct"/>
            <w:vAlign w:val="center"/>
          </w:tcPr>
          <w:p w14:paraId="52BB7FCC">
            <w:pPr>
              <w:ind w:firstLine="0" w:firstLineChars="0"/>
              <w:jc w:val="left"/>
              <w:rPr>
                <w:rFonts w:hint="eastAsia" w:ascii="宋体" w:hAnsi="宋体" w:cs="宋体"/>
                <w:kern w:val="0"/>
                <w:sz w:val="22"/>
                <w:lang w:eastAsia="zh-CN"/>
              </w:rPr>
            </w:pPr>
            <w:r>
              <w:rPr>
                <w:rFonts w:hint="eastAsia" w:ascii="宋体" w:hAnsi="宋体" w:cs="宋体"/>
                <w:kern w:val="0"/>
                <w:sz w:val="22"/>
              </w:rPr>
              <w:t>投标人</w:t>
            </w:r>
            <w:r>
              <w:rPr>
                <w:rFonts w:hint="eastAsia" w:ascii="宋体" w:hAnsi="宋体" w:cs="宋体"/>
                <w:kern w:val="0"/>
                <w:sz w:val="22"/>
                <w:lang w:eastAsia="zh-CN"/>
              </w:rPr>
              <w:t>需</w:t>
            </w:r>
            <w:r>
              <w:rPr>
                <w:rFonts w:hint="eastAsia" w:ascii="宋体" w:hAnsi="宋体" w:cs="宋体"/>
                <w:kern w:val="0"/>
                <w:sz w:val="22"/>
              </w:rPr>
              <w:t>提供</w:t>
            </w:r>
            <w:r>
              <w:rPr>
                <w:rFonts w:hint="eastAsia" w:ascii="宋体" w:hAnsi="宋体" w:cs="宋体"/>
                <w:kern w:val="0"/>
                <w:sz w:val="22"/>
                <w:lang w:eastAsia="zh-CN"/>
              </w:rPr>
              <w:t>采购清单中</w:t>
            </w:r>
          </w:p>
          <w:p w14:paraId="7473FC44">
            <w:pPr>
              <w:numPr>
                <w:ilvl w:val="0"/>
                <w:numId w:val="0"/>
              </w:numPr>
              <w:jc w:val="left"/>
              <w:rPr>
                <w:rFonts w:ascii="宋体" w:hAnsi="宋体" w:cs="宋体"/>
                <w:kern w:val="0"/>
                <w:sz w:val="22"/>
              </w:rPr>
            </w:pPr>
            <w:r>
              <w:rPr>
                <w:rFonts w:hint="eastAsia" w:ascii="宋体" w:hAnsi="宋体" w:cs="宋体"/>
                <w:kern w:val="0"/>
                <w:sz w:val="22"/>
              </w:rPr>
              <w:t>完全响应即满足招标文件的指标要求、参数要求的得10分；有负偏离每项扣</w:t>
            </w:r>
            <w:r>
              <w:rPr>
                <w:rFonts w:hint="eastAsia" w:ascii="宋体" w:hAnsi="宋体" w:cs="宋体"/>
                <w:kern w:val="0"/>
                <w:sz w:val="22"/>
                <w:lang w:val="en-US" w:eastAsia="zh-CN"/>
              </w:rPr>
              <w:t>3</w:t>
            </w:r>
            <w:r>
              <w:rPr>
                <w:rFonts w:hint="eastAsia" w:ascii="宋体" w:hAnsi="宋体" w:cs="宋体"/>
                <w:kern w:val="0"/>
                <w:sz w:val="22"/>
              </w:rPr>
              <w:t>分，本项分值扣完为止。</w:t>
            </w:r>
          </w:p>
        </w:tc>
        <w:tc>
          <w:tcPr>
            <w:tcW w:w="721" w:type="pct"/>
            <w:vAlign w:val="center"/>
          </w:tcPr>
          <w:p w14:paraId="7B501660">
            <w:pPr>
              <w:spacing w:line="240" w:lineRule="auto"/>
              <w:ind w:firstLine="0" w:firstLineChars="0"/>
              <w:jc w:val="center"/>
              <w:rPr>
                <w:rFonts w:ascii="宋体" w:hAnsi="宋体" w:cs="宋体"/>
                <w:sz w:val="22"/>
              </w:rPr>
            </w:pPr>
            <w:r>
              <w:rPr>
                <w:rFonts w:hint="eastAsia" w:ascii="宋体" w:hAnsi="宋体" w:cs="宋体"/>
                <w:sz w:val="22"/>
              </w:rPr>
              <w:t>10分</w:t>
            </w:r>
          </w:p>
        </w:tc>
      </w:tr>
      <w:tr w14:paraId="46B6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86" w:type="pct"/>
            <w:vMerge w:val="restart"/>
            <w:vAlign w:val="center"/>
          </w:tcPr>
          <w:p w14:paraId="48C5C177">
            <w:pPr>
              <w:spacing w:line="240" w:lineRule="auto"/>
              <w:ind w:firstLine="0" w:firstLineChars="0"/>
              <w:jc w:val="center"/>
              <w:rPr>
                <w:rFonts w:hint="eastAsia" w:ascii="宋体" w:hAnsi="宋体" w:eastAsia="宋体" w:cs="宋体"/>
                <w:sz w:val="22"/>
                <w:lang w:val="en-US" w:eastAsia="zh-CN"/>
              </w:rPr>
            </w:pPr>
            <w:r>
              <w:rPr>
                <w:rFonts w:hint="eastAsia" w:ascii="宋体" w:hAnsi="宋体" w:cs="宋体"/>
                <w:sz w:val="22"/>
                <w:lang w:val="en-US" w:eastAsia="zh-CN"/>
              </w:rPr>
              <w:t>3</w:t>
            </w:r>
          </w:p>
        </w:tc>
        <w:tc>
          <w:tcPr>
            <w:tcW w:w="596" w:type="pct"/>
            <w:vMerge w:val="restart"/>
            <w:vAlign w:val="center"/>
          </w:tcPr>
          <w:p w14:paraId="1EA13AD9">
            <w:pPr>
              <w:spacing w:line="240" w:lineRule="auto"/>
              <w:ind w:firstLine="0" w:firstLineChars="0"/>
              <w:jc w:val="center"/>
              <w:rPr>
                <w:rFonts w:hint="default" w:ascii="宋体" w:hAnsi="宋体" w:eastAsia="宋体" w:cs="宋体"/>
                <w:sz w:val="22"/>
                <w:lang w:val="en-US" w:eastAsia="zh-CN"/>
              </w:rPr>
            </w:pPr>
            <w:r>
              <w:rPr>
                <w:rFonts w:hint="eastAsia" w:ascii="宋体" w:hAnsi="宋体" w:cs="宋体"/>
                <w:sz w:val="22"/>
                <w:lang w:eastAsia="zh-CN"/>
              </w:rPr>
              <w:t>样品</w:t>
            </w:r>
            <w:r>
              <w:rPr>
                <w:rFonts w:hint="eastAsia" w:ascii="宋体" w:hAnsi="宋体" w:cs="宋体"/>
                <w:sz w:val="22"/>
                <w:lang w:val="en-US" w:eastAsia="zh-CN"/>
              </w:rPr>
              <w:t>25分</w:t>
            </w:r>
          </w:p>
        </w:tc>
        <w:tc>
          <w:tcPr>
            <w:tcW w:w="3096" w:type="pct"/>
            <w:vAlign w:val="center"/>
          </w:tcPr>
          <w:p w14:paraId="0B524A12">
            <w:pPr>
              <w:numPr>
                <w:ilvl w:val="0"/>
                <w:numId w:val="0"/>
              </w:numPr>
              <w:jc w:val="left"/>
              <w:rPr>
                <w:rFonts w:hint="eastAsia" w:eastAsia="宋体"/>
                <w:lang w:eastAsia="zh-CN"/>
              </w:rPr>
            </w:pPr>
            <w:r>
              <w:rPr>
                <w:rFonts w:hint="eastAsia" w:ascii="宋体" w:hAnsi="宋体" w:cs="宋体"/>
                <w:kern w:val="0"/>
                <w:sz w:val="22"/>
                <w:lang w:val="en-US"/>
              </w:rPr>
              <w:t>各投标人</w:t>
            </w:r>
            <w:r>
              <w:rPr>
                <w:rFonts w:hint="eastAsia" w:ascii="宋体" w:hAnsi="宋体" w:cs="宋体"/>
                <w:kern w:val="0"/>
                <w:sz w:val="22"/>
                <w:lang w:val="en-US" w:eastAsia="zh-CN"/>
              </w:rPr>
              <w:t>需提供清单中</w:t>
            </w:r>
            <w:r>
              <w:rPr>
                <w:rFonts w:hint="eastAsia" w:hAnsi="宋体" w:cs="宋体"/>
                <w:b w:val="0"/>
                <w:bCs/>
                <w:sz w:val="15"/>
                <w:szCs w:val="15"/>
              </w:rPr>
              <w:t>▲</w:t>
            </w:r>
            <w:r>
              <w:rPr>
                <w:rFonts w:hint="eastAsia" w:ascii="宋体" w:hAnsi="宋体" w:cs="宋体"/>
                <w:kern w:val="0"/>
                <w:sz w:val="22"/>
                <w:lang w:val="en-US"/>
              </w:rPr>
              <w:t>样品，样品提供齐全的得</w:t>
            </w:r>
            <w:r>
              <w:rPr>
                <w:rFonts w:hint="eastAsia" w:ascii="宋体" w:hAnsi="宋体" w:cs="宋体"/>
                <w:kern w:val="0"/>
                <w:sz w:val="22"/>
                <w:lang w:val="en-US" w:eastAsia="zh-CN"/>
              </w:rPr>
              <w:t>5</w:t>
            </w:r>
            <w:r>
              <w:rPr>
                <w:rFonts w:hint="eastAsia" w:ascii="宋体" w:hAnsi="宋体" w:cs="宋体"/>
                <w:kern w:val="0"/>
                <w:sz w:val="22"/>
                <w:lang w:val="en-US"/>
              </w:rPr>
              <w:t>分，</w:t>
            </w:r>
            <w:r>
              <w:rPr>
                <w:rFonts w:hint="eastAsia" w:ascii="宋体" w:hAnsi="宋体" w:cs="宋体"/>
                <w:kern w:val="0"/>
                <w:sz w:val="22"/>
                <w:lang w:val="en-US" w:eastAsia="zh-CN"/>
              </w:rPr>
              <w:t>样品不全的得0分。</w:t>
            </w:r>
          </w:p>
        </w:tc>
        <w:tc>
          <w:tcPr>
            <w:tcW w:w="721" w:type="pct"/>
            <w:vAlign w:val="center"/>
          </w:tcPr>
          <w:p w14:paraId="658E3B0A">
            <w:pPr>
              <w:spacing w:line="240" w:lineRule="auto"/>
              <w:ind w:firstLine="0" w:firstLineChars="0"/>
              <w:jc w:val="center"/>
              <w:rPr>
                <w:rFonts w:hint="eastAsia" w:ascii="宋体" w:hAnsi="宋体" w:eastAsia="宋体" w:cs="宋体"/>
                <w:sz w:val="22"/>
                <w:lang w:val="en-US" w:eastAsia="zh-CN"/>
              </w:rPr>
            </w:pPr>
            <w:r>
              <w:rPr>
                <w:rFonts w:hint="eastAsia" w:ascii="宋体" w:hAnsi="宋体" w:cs="宋体"/>
                <w:sz w:val="22"/>
                <w:lang w:val="en-US" w:eastAsia="zh-CN"/>
              </w:rPr>
              <w:t>5分</w:t>
            </w:r>
          </w:p>
        </w:tc>
      </w:tr>
      <w:tr w14:paraId="3FC6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86" w:type="pct"/>
            <w:vMerge w:val="continue"/>
            <w:vAlign w:val="center"/>
          </w:tcPr>
          <w:p w14:paraId="324F4AA1">
            <w:pPr>
              <w:spacing w:line="240" w:lineRule="auto"/>
              <w:ind w:firstLine="0" w:firstLineChars="0"/>
              <w:jc w:val="center"/>
              <w:rPr>
                <w:rFonts w:hint="default" w:ascii="宋体" w:hAnsi="宋体" w:cs="宋体"/>
                <w:sz w:val="22"/>
                <w:lang w:val="en-US" w:eastAsia="zh-CN"/>
              </w:rPr>
            </w:pPr>
          </w:p>
        </w:tc>
        <w:tc>
          <w:tcPr>
            <w:tcW w:w="596" w:type="pct"/>
            <w:vMerge w:val="continue"/>
            <w:vAlign w:val="center"/>
          </w:tcPr>
          <w:p w14:paraId="448AA3B4">
            <w:pPr>
              <w:spacing w:line="240" w:lineRule="auto"/>
              <w:ind w:firstLine="0" w:firstLineChars="0"/>
              <w:jc w:val="center"/>
              <w:rPr>
                <w:rFonts w:hint="eastAsia" w:ascii="宋体" w:hAnsi="宋体" w:cs="宋体"/>
                <w:sz w:val="22"/>
                <w:lang w:eastAsia="zh-CN"/>
              </w:rPr>
            </w:pPr>
          </w:p>
        </w:tc>
        <w:tc>
          <w:tcPr>
            <w:tcW w:w="3096" w:type="pct"/>
            <w:vAlign w:val="center"/>
          </w:tcPr>
          <w:p w14:paraId="0583DEA1">
            <w:pPr>
              <w:ind w:left="0" w:leftChars="0" w:firstLine="0" w:firstLineChars="0"/>
              <w:rPr>
                <w:rFonts w:hint="eastAsia" w:ascii="宋体" w:hAnsi="宋体" w:eastAsia="宋体" w:cs="宋体"/>
                <w:bCs/>
                <w:color w:val="000000" w:themeColor="text1"/>
                <w:sz w:val="22"/>
                <w:szCs w:val="22"/>
                <w:highlight w:val="none"/>
                <w:lang w:val="en-US"/>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评委对</w:t>
            </w:r>
            <w:r>
              <w:rPr>
                <w:rFonts w:hint="eastAsia" w:ascii="宋体" w:hAnsi="宋体" w:eastAsia="宋体" w:cs="宋体"/>
                <w:bCs/>
                <w:color w:val="000000" w:themeColor="text1"/>
                <w:sz w:val="22"/>
                <w:szCs w:val="22"/>
                <w:highlight w:val="none"/>
                <w:lang w:val="en-US"/>
                <w14:textFill>
                  <w14:solidFill>
                    <w14:schemeClr w14:val="tx1"/>
                  </w14:solidFill>
                </w14:textFill>
              </w:rPr>
              <w:t>投标样品</w:t>
            </w:r>
            <w:r>
              <w:rPr>
                <w:rFonts w:hint="eastAsia" w:ascii="宋体" w:hAnsi="宋体" w:cs="宋体"/>
                <w:bCs/>
                <w:color w:val="000000" w:themeColor="text1"/>
                <w:sz w:val="22"/>
                <w:szCs w:val="22"/>
                <w:highlight w:val="none"/>
                <w:lang w:val="en-US" w:eastAsia="zh-CN"/>
                <w14:textFill>
                  <w14:solidFill>
                    <w14:schemeClr w14:val="tx1"/>
                  </w14:solidFill>
                </w14:textFill>
              </w:rPr>
              <w:t>的质量及证件要求进行评审</w:t>
            </w:r>
            <w:r>
              <w:rPr>
                <w:rFonts w:hint="eastAsia" w:ascii="宋体" w:hAnsi="宋体" w:eastAsia="宋体" w:cs="宋体"/>
                <w:bCs/>
                <w:color w:val="000000" w:themeColor="text1"/>
                <w:sz w:val="22"/>
                <w:szCs w:val="22"/>
                <w:highlight w:val="none"/>
                <w:lang w:val="en-US"/>
                <w14:textFill>
                  <w14:solidFill>
                    <w14:schemeClr w14:val="tx1"/>
                  </w14:solidFill>
                </w14:textFill>
              </w:rPr>
              <w:t>（</w:t>
            </w:r>
            <w:r>
              <w:rPr>
                <w:rFonts w:hint="eastAsia" w:ascii="宋体" w:hAnsi="宋体" w:cs="宋体"/>
                <w:bCs/>
                <w:color w:val="000000" w:themeColor="text1"/>
                <w:sz w:val="22"/>
                <w:szCs w:val="22"/>
                <w:highlight w:val="none"/>
                <w:lang w:val="en-US" w:eastAsia="zh-CN"/>
                <w14:textFill>
                  <w14:solidFill>
                    <w14:schemeClr w14:val="tx1"/>
                  </w14:solidFill>
                </w14:textFill>
              </w:rPr>
              <w:t>20</w:t>
            </w:r>
            <w:r>
              <w:rPr>
                <w:rFonts w:hint="eastAsia" w:ascii="宋体" w:hAnsi="宋体" w:eastAsia="宋体" w:cs="宋体"/>
                <w:bCs/>
                <w:color w:val="000000" w:themeColor="text1"/>
                <w:sz w:val="22"/>
                <w:szCs w:val="22"/>
                <w:highlight w:val="none"/>
                <w:lang w:val="en-US"/>
                <w14:textFill>
                  <w14:solidFill>
                    <w14:schemeClr w14:val="tx1"/>
                  </w14:solidFill>
                </w14:textFill>
              </w:rPr>
              <w:t>分）：</w:t>
            </w:r>
          </w:p>
          <w:p w14:paraId="1EF11AF6">
            <w:pPr>
              <w:pStyle w:val="2"/>
              <w:ind w:left="0" w:leftChars="0" w:firstLine="0" w:firstLineChars="0"/>
              <w:rPr>
                <w:rFonts w:hint="default" w:eastAsia="宋体"/>
                <w:lang w:val="en-US" w:eastAsia="zh-CN"/>
              </w:rPr>
            </w:pPr>
            <w:r>
              <w:rPr>
                <w:rFonts w:hint="eastAsia" w:hAnsi="宋体" w:cs="宋体"/>
                <w:bCs/>
                <w:color w:val="FF0000"/>
                <w:sz w:val="22"/>
                <w:szCs w:val="22"/>
                <w:highlight w:val="none"/>
                <w:lang w:val="en-US" w:eastAsia="zh-CN"/>
              </w:rPr>
              <w:t>各投标人需提供包装完整产品（含标签、合格证、说明书）、产品医疗器械备案证（或生产产品登记表）、产品检测报告、生产厂家质量承诺书等，根据产品类别提供响应材料。</w:t>
            </w:r>
          </w:p>
          <w:p w14:paraId="044C2324">
            <w:pPr>
              <w:ind w:firstLine="0" w:firstLineChars="0"/>
              <w:jc w:val="left"/>
              <w:rPr>
                <w:rFonts w:hint="eastAsia" w:ascii="宋体" w:hAnsi="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14:textFill>
                  <w14:solidFill>
                    <w14:schemeClr w14:val="tx1"/>
                  </w14:solidFill>
                </w14:textFill>
              </w:rPr>
              <w:t>（</w:t>
            </w:r>
            <w:r>
              <w:rPr>
                <w:rFonts w:hint="eastAsia" w:ascii="宋体" w:hAnsi="宋体" w:cs="宋体"/>
                <w:bCs/>
                <w:color w:val="000000" w:themeColor="text1"/>
                <w:sz w:val="22"/>
                <w:szCs w:val="22"/>
                <w:highlight w:val="none"/>
                <w:lang w:val="en-US" w:eastAsia="zh-CN"/>
                <w14:textFill>
                  <w14:solidFill>
                    <w14:schemeClr w14:val="tx1"/>
                  </w14:solidFill>
                </w14:textFill>
              </w:rPr>
              <w:t>提供样品完全符合清单参数要求，得20分，</w:t>
            </w:r>
            <w:r>
              <w:rPr>
                <w:rFonts w:hint="eastAsia" w:ascii="宋体" w:hAnsi="宋体" w:cs="宋体"/>
                <w:kern w:val="0"/>
                <w:sz w:val="22"/>
              </w:rPr>
              <w:t>有负偏离每项扣</w:t>
            </w:r>
            <w:r>
              <w:rPr>
                <w:rFonts w:hint="eastAsia" w:ascii="宋体" w:hAnsi="宋体" w:cs="宋体"/>
                <w:kern w:val="0"/>
                <w:sz w:val="22"/>
                <w:lang w:val="en-US" w:eastAsia="zh-CN"/>
              </w:rPr>
              <w:t>4</w:t>
            </w:r>
            <w:r>
              <w:rPr>
                <w:rFonts w:hint="eastAsia" w:ascii="宋体" w:hAnsi="宋体" w:cs="宋体"/>
                <w:kern w:val="0"/>
                <w:sz w:val="22"/>
              </w:rPr>
              <w:t>分，本项分值扣完为止。</w:t>
            </w:r>
          </w:p>
        </w:tc>
        <w:tc>
          <w:tcPr>
            <w:tcW w:w="721" w:type="pct"/>
            <w:vAlign w:val="center"/>
          </w:tcPr>
          <w:p w14:paraId="1CB3A13B">
            <w:pPr>
              <w:spacing w:line="240" w:lineRule="auto"/>
              <w:ind w:firstLine="0" w:firstLineChars="0"/>
              <w:jc w:val="center"/>
              <w:rPr>
                <w:rFonts w:hint="default" w:ascii="宋体" w:hAnsi="宋体" w:cs="宋体"/>
                <w:sz w:val="22"/>
                <w:lang w:val="en-US" w:eastAsia="zh-CN"/>
              </w:rPr>
            </w:pPr>
            <w:r>
              <w:rPr>
                <w:rFonts w:hint="eastAsia" w:ascii="宋体" w:hAnsi="宋体" w:cs="宋体"/>
                <w:sz w:val="22"/>
                <w:lang w:val="en-US" w:eastAsia="zh-CN"/>
              </w:rPr>
              <w:t>20分</w:t>
            </w:r>
          </w:p>
        </w:tc>
      </w:tr>
      <w:tr w14:paraId="2747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586" w:type="pct"/>
            <w:vAlign w:val="center"/>
          </w:tcPr>
          <w:p w14:paraId="52FDDDD6">
            <w:pPr>
              <w:spacing w:line="240" w:lineRule="auto"/>
              <w:ind w:firstLine="0" w:firstLineChars="0"/>
              <w:jc w:val="center"/>
              <w:rPr>
                <w:rFonts w:hint="eastAsia" w:ascii="宋体" w:hAnsi="宋体" w:eastAsia="宋体" w:cs="宋体"/>
                <w:sz w:val="22"/>
                <w:lang w:eastAsia="zh-CN"/>
              </w:rPr>
            </w:pPr>
            <w:r>
              <w:rPr>
                <w:rFonts w:hint="eastAsia" w:ascii="宋体" w:hAnsi="宋体" w:cs="宋体"/>
                <w:sz w:val="22"/>
                <w:lang w:val="en-US" w:eastAsia="zh-CN"/>
              </w:rPr>
              <w:t>4</w:t>
            </w:r>
          </w:p>
        </w:tc>
        <w:tc>
          <w:tcPr>
            <w:tcW w:w="596" w:type="pct"/>
            <w:vAlign w:val="center"/>
          </w:tcPr>
          <w:p w14:paraId="24B538C1">
            <w:pPr>
              <w:ind w:firstLine="0" w:firstLineChars="0"/>
              <w:jc w:val="center"/>
              <w:rPr>
                <w:rFonts w:ascii="宋体" w:hAnsi="宋体" w:cs="宋体"/>
                <w:color w:val="000000"/>
                <w:sz w:val="22"/>
              </w:rPr>
            </w:pPr>
            <w:r>
              <w:rPr>
                <w:rFonts w:hint="eastAsia" w:ascii="宋体" w:hAnsi="宋体" w:cs="宋体"/>
                <w:color w:val="000000"/>
                <w:sz w:val="22"/>
              </w:rPr>
              <w:t>业绩</w:t>
            </w:r>
          </w:p>
          <w:p w14:paraId="22F19ACA">
            <w:pPr>
              <w:ind w:firstLine="0" w:firstLineChars="0"/>
              <w:jc w:val="center"/>
              <w:rPr>
                <w:rFonts w:ascii="宋体" w:hAnsi="宋体" w:cs="宋体"/>
                <w:color w:val="000000"/>
                <w:sz w:val="22"/>
              </w:rPr>
            </w:pPr>
            <w:r>
              <w:rPr>
                <w:rFonts w:hint="eastAsia" w:ascii="宋体" w:hAnsi="宋体" w:cs="宋体"/>
                <w:color w:val="000000"/>
                <w:sz w:val="22"/>
                <w:lang w:val="en-US" w:eastAsia="zh-CN"/>
              </w:rPr>
              <w:t>5</w:t>
            </w:r>
            <w:r>
              <w:rPr>
                <w:rFonts w:hint="eastAsia" w:ascii="宋体" w:hAnsi="宋体" w:cs="宋体"/>
                <w:color w:val="000000"/>
                <w:sz w:val="22"/>
              </w:rPr>
              <w:t>分</w:t>
            </w:r>
          </w:p>
        </w:tc>
        <w:tc>
          <w:tcPr>
            <w:tcW w:w="3096" w:type="pct"/>
            <w:vAlign w:val="center"/>
          </w:tcPr>
          <w:p w14:paraId="62DBCA79">
            <w:pPr>
              <w:ind w:firstLine="0" w:firstLineChars="0"/>
              <w:jc w:val="left"/>
              <w:rPr>
                <w:rFonts w:ascii="宋体" w:hAnsi="宋体" w:cs="宋体"/>
                <w:color w:val="000000"/>
                <w:sz w:val="22"/>
              </w:rPr>
            </w:pPr>
            <w:r>
              <w:rPr>
                <w:rFonts w:hint="eastAsia" w:ascii="宋体" w:hAnsi="宋体" w:cs="宋体"/>
                <w:color w:val="000000"/>
                <w:sz w:val="22"/>
              </w:rPr>
              <w:t>投标人提供自2023年1月1日（含）以来</w:t>
            </w:r>
            <w:r>
              <w:rPr>
                <w:rFonts w:hint="eastAsia" w:ascii="宋体" w:hAnsi="宋体" w:cs="宋体"/>
                <w:color w:val="000000"/>
                <w:sz w:val="22"/>
                <w:lang w:eastAsia="zh-CN"/>
              </w:rPr>
              <w:t>，</w:t>
            </w:r>
            <w:r>
              <w:rPr>
                <w:rFonts w:hint="eastAsia" w:ascii="宋体" w:hAnsi="宋体" w:cs="宋体"/>
                <w:color w:val="000000"/>
                <w:sz w:val="22"/>
              </w:rPr>
              <w:t>承接过</w:t>
            </w:r>
            <w:r>
              <w:rPr>
                <w:rFonts w:hint="eastAsia" w:ascii="宋体" w:hAnsi="宋体" w:cs="宋体"/>
                <w:color w:val="FF0000"/>
                <w:sz w:val="22"/>
              </w:rPr>
              <w:t>三</w:t>
            </w:r>
            <w:r>
              <w:rPr>
                <w:rFonts w:hint="eastAsia" w:ascii="宋体" w:hAnsi="宋体" w:cs="宋体"/>
                <w:color w:val="FF0000"/>
                <w:sz w:val="22"/>
                <w:lang w:val="en-US" w:eastAsia="zh-CN"/>
              </w:rPr>
              <w:t>级及以上</w:t>
            </w:r>
            <w:r>
              <w:rPr>
                <w:rFonts w:hint="eastAsia" w:ascii="宋体" w:hAnsi="宋体" w:cs="宋体"/>
                <w:color w:val="FF0000"/>
                <w:sz w:val="22"/>
              </w:rPr>
              <w:t>医院</w:t>
            </w:r>
            <w:r>
              <w:rPr>
                <w:rFonts w:hint="eastAsia" w:ascii="宋体" w:hAnsi="宋体" w:cs="宋体"/>
                <w:color w:val="000000"/>
                <w:sz w:val="22"/>
              </w:rPr>
              <w:t>供应类似业绩的有1项得</w:t>
            </w:r>
            <w:r>
              <w:rPr>
                <w:rFonts w:hint="eastAsia" w:ascii="宋体" w:hAnsi="宋体" w:cs="宋体"/>
                <w:color w:val="000000"/>
                <w:sz w:val="22"/>
                <w:lang w:val="en-US" w:eastAsia="zh-CN"/>
              </w:rPr>
              <w:t>2</w:t>
            </w:r>
            <w:r>
              <w:rPr>
                <w:rFonts w:hint="eastAsia" w:ascii="宋体" w:hAnsi="宋体" w:cs="宋体"/>
                <w:color w:val="000000"/>
                <w:sz w:val="22"/>
              </w:rPr>
              <w:t>分，最高得5分。</w:t>
            </w:r>
          </w:p>
        </w:tc>
        <w:tc>
          <w:tcPr>
            <w:tcW w:w="721" w:type="pct"/>
            <w:vAlign w:val="center"/>
          </w:tcPr>
          <w:p w14:paraId="698900CC">
            <w:pPr>
              <w:spacing w:line="240" w:lineRule="auto"/>
              <w:ind w:firstLine="0" w:firstLineChars="0"/>
              <w:jc w:val="center"/>
              <w:rPr>
                <w:rFonts w:ascii="宋体" w:hAnsi="宋体" w:cs="宋体"/>
                <w:sz w:val="22"/>
              </w:rPr>
            </w:pPr>
            <w:r>
              <w:rPr>
                <w:rFonts w:hint="eastAsia" w:ascii="宋体" w:hAnsi="宋体" w:cs="宋体"/>
                <w:sz w:val="22"/>
                <w:lang w:val="en-US" w:eastAsia="zh-CN"/>
              </w:rPr>
              <w:t>5</w:t>
            </w:r>
            <w:r>
              <w:rPr>
                <w:rFonts w:hint="eastAsia" w:ascii="宋体" w:hAnsi="宋体" w:cs="宋体"/>
                <w:sz w:val="22"/>
              </w:rPr>
              <w:t>分</w:t>
            </w:r>
          </w:p>
        </w:tc>
      </w:tr>
      <w:tr w14:paraId="1DF9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86" w:type="pct"/>
            <w:vMerge w:val="restart"/>
            <w:vAlign w:val="center"/>
          </w:tcPr>
          <w:p w14:paraId="100458EF">
            <w:pPr>
              <w:spacing w:line="240" w:lineRule="auto"/>
              <w:ind w:firstLine="0" w:firstLineChars="0"/>
              <w:jc w:val="center"/>
              <w:rPr>
                <w:rFonts w:hint="eastAsia" w:ascii="宋体" w:hAnsi="宋体" w:eastAsia="宋体" w:cs="宋体"/>
                <w:sz w:val="22"/>
                <w:lang w:eastAsia="zh-CN"/>
              </w:rPr>
            </w:pPr>
            <w:r>
              <w:rPr>
                <w:rFonts w:hint="eastAsia" w:ascii="宋体" w:hAnsi="宋体" w:cs="宋体"/>
                <w:sz w:val="22"/>
                <w:lang w:val="en-US" w:eastAsia="zh-CN"/>
              </w:rPr>
              <w:t>5</w:t>
            </w:r>
          </w:p>
        </w:tc>
        <w:tc>
          <w:tcPr>
            <w:tcW w:w="596" w:type="pct"/>
            <w:vMerge w:val="restart"/>
            <w:vAlign w:val="center"/>
          </w:tcPr>
          <w:p w14:paraId="0CDD52DD">
            <w:pPr>
              <w:spacing w:line="240" w:lineRule="auto"/>
              <w:ind w:firstLine="0" w:firstLineChars="0"/>
              <w:jc w:val="center"/>
              <w:rPr>
                <w:rFonts w:ascii="宋体" w:hAnsi="宋体" w:cs="宋体"/>
                <w:sz w:val="22"/>
              </w:rPr>
            </w:pPr>
            <w:r>
              <w:rPr>
                <w:rFonts w:hint="eastAsia" w:ascii="宋体" w:hAnsi="宋体" w:cs="宋体"/>
                <w:bCs/>
                <w:sz w:val="22"/>
              </w:rPr>
              <w:t>服务方案</w:t>
            </w:r>
            <w:r>
              <w:rPr>
                <w:rFonts w:hint="eastAsia" w:ascii="宋体" w:hAnsi="宋体" w:cs="宋体"/>
                <w:bCs/>
                <w:sz w:val="22"/>
                <w:lang w:val="en-US" w:eastAsia="zh-CN"/>
              </w:rPr>
              <w:t>20</w:t>
            </w:r>
            <w:r>
              <w:rPr>
                <w:rFonts w:hint="eastAsia" w:ascii="宋体" w:hAnsi="宋体" w:cs="宋体"/>
                <w:bCs/>
                <w:sz w:val="22"/>
              </w:rPr>
              <w:t>分</w:t>
            </w:r>
          </w:p>
        </w:tc>
        <w:tc>
          <w:tcPr>
            <w:tcW w:w="3096" w:type="pct"/>
            <w:vAlign w:val="center"/>
          </w:tcPr>
          <w:p w14:paraId="025884C1">
            <w:pPr>
              <w:widowControl/>
              <w:ind w:firstLine="0" w:firstLineChars="0"/>
              <w:rPr>
                <w:rFonts w:ascii="宋体" w:hAnsi="宋体" w:cs="宋体"/>
                <w:color w:val="000000"/>
                <w:sz w:val="22"/>
              </w:rPr>
            </w:pPr>
            <w:r>
              <w:rPr>
                <w:rFonts w:hint="eastAsia" w:ascii="宋体" w:hAnsi="宋体" w:cs="宋体"/>
                <w:color w:val="000000"/>
                <w:sz w:val="22"/>
              </w:rPr>
              <w:t>评委对投标人针对本项目的整体供货的实施计划（包括配送时间、配送方式、人力物力安排、生产工艺流程控制、质量控制保证措施等）等综合评分。（满分</w:t>
            </w:r>
            <w:r>
              <w:rPr>
                <w:rFonts w:hint="eastAsia" w:ascii="宋体" w:hAnsi="宋体" w:cs="宋体"/>
                <w:color w:val="000000"/>
                <w:sz w:val="22"/>
                <w:lang w:val="en-US" w:eastAsia="zh-CN"/>
              </w:rPr>
              <w:t>7</w:t>
            </w:r>
            <w:r>
              <w:rPr>
                <w:rFonts w:hint="eastAsia" w:ascii="宋体" w:hAnsi="宋体" w:cs="宋体"/>
                <w:color w:val="000000"/>
                <w:sz w:val="22"/>
              </w:rPr>
              <w:t>分。优：</w:t>
            </w:r>
            <w:r>
              <w:rPr>
                <w:rFonts w:hint="eastAsia" w:ascii="宋体" w:hAnsi="宋体" w:cs="宋体"/>
                <w:color w:val="000000"/>
                <w:sz w:val="22"/>
                <w:lang w:val="en-US" w:eastAsia="zh-CN"/>
              </w:rPr>
              <w:t>7</w:t>
            </w:r>
            <w:r>
              <w:rPr>
                <w:rFonts w:hint="eastAsia" w:ascii="宋体" w:hAnsi="宋体" w:cs="宋体"/>
                <w:color w:val="000000"/>
                <w:sz w:val="22"/>
              </w:rPr>
              <w:t>分，中：</w:t>
            </w:r>
            <w:r>
              <w:rPr>
                <w:rFonts w:hint="eastAsia" w:ascii="宋体" w:hAnsi="宋体" w:cs="宋体"/>
                <w:color w:val="000000"/>
                <w:sz w:val="22"/>
                <w:lang w:val="en-US" w:eastAsia="zh-CN"/>
              </w:rPr>
              <w:t>3</w:t>
            </w:r>
            <w:r>
              <w:rPr>
                <w:rFonts w:hint="eastAsia" w:ascii="宋体" w:hAnsi="宋体" w:cs="宋体"/>
                <w:color w:val="000000"/>
                <w:sz w:val="22"/>
              </w:rPr>
              <w:t>分，</w:t>
            </w:r>
            <w:r>
              <w:rPr>
                <w:rFonts w:hint="eastAsia" w:ascii="宋体" w:hAnsi="宋体" w:cs="宋体"/>
                <w:color w:val="000000"/>
                <w:sz w:val="22"/>
                <w:lang w:val="en-US" w:eastAsia="zh-CN"/>
              </w:rPr>
              <w:t>一般</w:t>
            </w:r>
            <w:r>
              <w:rPr>
                <w:rFonts w:hint="eastAsia" w:ascii="宋体" w:hAnsi="宋体" w:cs="宋体"/>
                <w:color w:val="000000"/>
                <w:sz w:val="22"/>
              </w:rPr>
              <w:t>：</w:t>
            </w:r>
            <w:r>
              <w:rPr>
                <w:rFonts w:hint="eastAsia" w:ascii="宋体" w:hAnsi="宋体" w:cs="宋体"/>
                <w:color w:val="000000"/>
                <w:sz w:val="22"/>
                <w:lang w:val="en-US" w:eastAsia="zh-CN"/>
              </w:rPr>
              <w:t>1</w:t>
            </w:r>
            <w:r>
              <w:rPr>
                <w:rFonts w:hint="eastAsia" w:ascii="宋体" w:hAnsi="宋体" w:cs="宋体"/>
                <w:color w:val="000000"/>
                <w:sz w:val="22"/>
              </w:rPr>
              <w:t>分。未提供不得分）</w:t>
            </w:r>
          </w:p>
        </w:tc>
        <w:tc>
          <w:tcPr>
            <w:tcW w:w="721" w:type="pct"/>
            <w:vAlign w:val="center"/>
          </w:tcPr>
          <w:p w14:paraId="5BE4D0B2">
            <w:pPr>
              <w:spacing w:line="240" w:lineRule="auto"/>
              <w:ind w:firstLine="0" w:firstLineChars="0"/>
              <w:jc w:val="center"/>
              <w:rPr>
                <w:rFonts w:ascii="宋体" w:hAnsi="宋体" w:cs="宋体"/>
                <w:sz w:val="22"/>
              </w:rPr>
            </w:pPr>
            <w:r>
              <w:rPr>
                <w:rFonts w:hint="eastAsia" w:ascii="宋体" w:hAnsi="宋体" w:cs="宋体"/>
                <w:sz w:val="22"/>
                <w:lang w:val="en-US" w:eastAsia="zh-CN"/>
              </w:rPr>
              <w:t>7</w:t>
            </w:r>
            <w:r>
              <w:rPr>
                <w:rFonts w:hint="eastAsia" w:ascii="宋体" w:hAnsi="宋体" w:cs="宋体"/>
                <w:sz w:val="22"/>
              </w:rPr>
              <w:t>分</w:t>
            </w:r>
          </w:p>
        </w:tc>
      </w:tr>
      <w:tr w14:paraId="48D8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86" w:type="pct"/>
            <w:vMerge w:val="continue"/>
            <w:vAlign w:val="center"/>
          </w:tcPr>
          <w:p w14:paraId="78750793">
            <w:pPr>
              <w:spacing w:line="240" w:lineRule="auto"/>
              <w:ind w:firstLine="0" w:firstLineChars="0"/>
              <w:jc w:val="center"/>
              <w:rPr>
                <w:rFonts w:ascii="宋体" w:hAnsi="宋体" w:cs="宋体"/>
                <w:sz w:val="22"/>
              </w:rPr>
            </w:pPr>
          </w:p>
        </w:tc>
        <w:tc>
          <w:tcPr>
            <w:tcW w:w="596" w:type="pct"/>
            <w:vMerge w:val="continue"/>
            <w:vAlign w:val="center"/>
          </w:tcPr>
          <w:p w14:paraId="23A76DD7">
            <w:pPr>
              <w:spacing w:line="240" w:lineRule="auto"/>
              <w:ind w:firstLine="0" w:firstLineChars="0"/>
              <w:jc w:val="center"/>
              <w:rPr>
                <w:rFonts w:ascii="宋体" w:hAnsi="宋体" w:cs="宋体"/>
                <w:sz w:val="22"/>
              </w:rPr>
            </w:pPr>
          </w:p>
        </w:tc>
        <w:tc>
          <w:tcPr>
            <w:tcW w:w="3096" w:type="pct"/>
            <w:vAlign w:val="center"/>
          </w:tcPr>
          <w:p w14:paraId="11C47A8D">
            <w:pPr>
              <w:widowControl/>
              <w:ind w:firstLine="0" w:firstLineChars="0"/>
              <w:rPr>
                <w:rFonts w:ascii="宋体" w:hAnsi="宋体" w:cs="宋体"/>
                <w:color w:val="000000"/>
                <w:sz w:val="22"/>
              </w:rPr>
            </w:pPr>
            <w:r>
              <w:rPr>
                <w:rFonts w:hint="eastAsia" w:ascii="宋体" w:hAnsi="宋体" w:cs="宋体"/>
                <w:color w:val="000000"/>
                <w:sz w:val="22"/>
              </w:rPr>
              <w:t>评委根据投标人售后服务承诺及服务响应时间（包含服务、调换、非成套补货等）的完备性、可操作性、承诺的供货期、验货方案等综合评分。（满分</w:t>
            </w:r>
            <w:r>
              <w:rPr>
                <w:rFonts w:hint="eastAsia" w:ascii="宋体" w:hAnsi="宋体" w:cs="宋体"/>
                <w:color w:val="000000"/>
                <w:sz w:val="22"/>
                <w:lang w:val="en-US" w:eastAsia="zh-CN"/>
              </w:rPr>
              <w:t>7</w:t>
            </w:r>
            <w:r>
              <w:rPr>
                <w:rFonts w:hint="eastAsia" w:ascii="宋体" w:hAnsi="宋体" w:cs="宋体"/>
                <w:color w:val="000000"/>
                <w:sz w:val="22"/>
              </w:rPr>
              <w:t>分。优：</w:t>
            </w:r>
            <w:r>
              <w:rPr>
                <w:rFonts w:hint="eastAsia" w:ascii="宋体" w:hAnsi="宋体" w:cs="宋体"/>
                <w:color w:val="000000"/>
                <w:sz w:val="22"/>
                <w:lang w:val="en-US" w:eastAsia="zh-CN"/>
              </w:rPr>
              <w:t>7</w:t>
            </w:r>
            <w:r>
              <w:rPr>
                <w:rFonts w:hint="eastAsia" w:ascii="宋体" w:hAnsi="宋体" w:cs="宋体"/>
                <w:color w:val="000000"/>
                <w:sz w:val="22"/>
              </w:rPr>
              <w:t>分，中：</w:t>
            </w:r>
            <w:r>
              <w:rPr>
                <w:rFonts w:hint="eastAsia" w:ascii="宋体" w:hAnsi="宋体" w:cs="宋体"/>
                <w:color w:val="000000"/>
                <w:sz w:val="22"/>
                <w:lang w:val="en-US" w:eastAsia="zh-CN"/>
              </w:rPr>
              <w:t>3</w:t>
            </w:r>
            <w:r>
              <w:rPr>
                <w:rFonts w:hint="eastAsia" w:ascii="宋体" w:hAnsi="宋体" w:cs="宋体"/>
                <w:color w:val="000000"/>
                <w:sz w:val="22"/>
              </w:rPr>
              <w:t>分，</w:t>
            </w:r>
            <w:r>
              <w:rPr>
                <w:rFonts w:hint="eastAsia" w:ascii="宋体" w:hAnsi="宋体" w:cs="宋体"/>
                <w:color w:val="000000"/>
                <w:sz w:val="22"/>
                <w:lang w:val="en-US" w:eastAsia="zh-CN"/>
              </w:rPr>
              <w:t>一般</w:t>
            </w:r>
            <w:r>
              <w:rPr>
                <w:rFonts w:hint="eastAsia" w:ascii="宋体" w:hAnsi="宋体" w:cs="宋体"/>
                <w:color w:val="000000"/>
                <w:sz w:val="22"/>
              </w:rPr>
              <w:t>：</w:t>
            </w:r>
            <w:r>
              <w:rPr>
                <w:rFonts w:hint="eastAsia" w:ascii="宋体" w:hAnsi="宋体" w:cs="宋体"/>
                <w:color w:val="000000"/>
                <w:sz w:val="22"/>
                <w:lang w:val="en-US" w:eastAsia="zh-CN"/>
              </w:rPr>
              <w:t>1</w:t>
            </w:r>
            <w:r>
              <w:rPr>
                <w:rFonts w:hint="eastAsia" w:ascii="宋体" w:hAnsi="宋体" w:cs="宋体"/>
                <w:color w:val="000000"/>
                <w:sz w:val="22"/>
              </w:rPr>
              <w:t>分，未提供不得分）</w:t>
            </w:r>
          </w:p>
        </w:tc>
        <w:tc>
          <w:tcPr>
            <w:tcW w:w="721" w:type="pct"/>
            <w:vAlign w:val="center"/>
          </w:tcPr>
          <w:p w14:paraId="051DB7A1">
            <w:pPr>
              <w:spacing w:line="240" w:lineRule="auto"/>
              <w:ind w:firstLine="0" w:firstLineChars="0"/>
              <w:jc w:val="center"/>
              <w:rPr>
                <w:rFonts w:ascii="宋体" w:hAnsi="宋体" w:cs="宋体"/>
                <w:sz w:val="22"/>
              </w:rPr>
            </w:pPr>
            <w:r>
              <w:rPr>
                <w:rFonts w:hint="eastAsia" w:ascii="宋体" w:hAnsi="宋体" w:cs="宋体"/>
                <w:sz w:val="22"/>
                <w:lang w:val="en-US" w:eastAsia="zh-CN"/>
              </w:rPr>
              <w:t>7</w:t>
            </w:r>
            <w:r>
              <w:rPr>
                <w:rFonts w:hint="eastAsia" w:ascii="宋体" w:hAnsi="宋体" w:cs="宋体"/>
                <w:sz w:val="22"/>
              </w:rPr>
              <w:t>分</w:t>
            </w:r>
          </w:p>
        </w:tc>
      </w:tr>
      <w:tr w14:paraId="7C72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6" w:type="pct"/>
            <w:vMerge w:val="continue"/>
            <w:vAlign w:val="center"/>
          </w:tcPr>
          <w:p w14:paraId="67808322">
            <w:pPr>
              <w:spacing w:line="240" w:lineRule="auto"/>
              <w:ind w:firstLine="0" w:firstLineChars="0"/>
              <w:jc w:val="center"/>
              <w:rPr>
                <w:rFonts w:ascii="宋体" w:hAnsi="宋体" w:cs="宋体"/>
                <w:sz w:val="22"/>
              </w:rPr>
            </w:pPr>
          </w:p>
        </w:tc>
        <w:tc>
          <w:tcPr>
            <w:tcW w:w="596" w:type="pct"/>
            <w:vMerge w:val="continue"/>
            <w:vAlign w:val="center"/>
          </w:tcPr>
          <w:p w14:paraId="02295735">
            <w:pPr>
              <w:spacing w:line="240" w:lineRule="auto"/>
              <w:ind w:firstLine="0" w:firstLineChars="0"/>
              <w:jc w:val="center"/>
              <w:rPr>
                <w:rFonts w:ascii="宋体" w:hAnsi="宋体" w:cs="宋体"/>
                <w:sz w:val="22"/>
              </w:rPr>
            </w:pPr>
          </w:p>
        </w:tc>
        <w:tc>
          <w:tcPr>
            <w:tcW w:w="3096" w:type="pct"/>
            <w:vAlign w:val="center"/>
          </w:tcPr>
          <w:p w14:paraId="568461B3">
            <w:pPr>
              <w:pStyle w:val="5"/>
              <w:widowControl/>
              <w:rPr>
                <w:rFonts w:ascii="宋体" w:hAnsi="宋体" w:cs="宋体"/>
                <w:color w:val="000000"/>
                <w:sz w:val="22"/>
              </w:rPr>
            </w:pPr>
            <w:r>
              <w:rPr>
                <w:rFonts w:hint="eastAsia" w:ascii="宋体" w:hAnsi="宋体" w:eastAsia="宋体" w:cs="宋体"/>
                <w:color w:val="000000"/>
                <w:lang w:eastAsia="zh-CN"/>
              </w:rPr>
              <w:t>评委根据投标人提供的项目质量控制措施编制是否合理、清晰、科学、有效、符合实际及项目需求进行综合评分。质量控制措施包括：组织管理、技术质检、技术标准、管理措施等内容综合评分。</w:t>
            </w:r>
            <w:r>
              <w:rPr>
                <w:rFonts w:hint="eastAsia" w:ascii="宋体" w:hAnsi="宋体" w:cs="宋体"/>
                <w:color w:val="000000"/>
                <w:sz w:val="22"/>
              </w:rPr>
              <w:t>（满分</w:t>
            </w:r>
            <w:r>
              <w:rPr>
                <w:rFonts w:hint="eastAsia" w:ascii="宋体" w:hAnsi="宋体" w:cs="宋体"/>
                <w:color w:val="000000"/>
                <w:sz w:val="22"/>
                <w:lang w:val="en-US" w:eastAsia="zh-CN"/>
              </w:rPr>
              <w:t>6</w:t>
            </w:r>
            <w:r>
              <w:rPr>
                <w:rFonts w:hint="eastAsia" w:ascii="宋体" w:hAnsi="宋体" w:cs="宋体"/>
                <w:color w:val="000000"/>
                <w:sz w:val="22"/>
              </w:rPr>
              <w:t>分。优：</w:t>
            </w:r>
            <w:r>
              <w:rPr>
                <w:rFonts w:hint="eastAsia" w:ascii="宋体" w:hAnsi="宋体" w:cs="宋体"/>
                <w:color w:val="000000"/>
                <w:sz w:val="22"/>
                <w:lang w:val="en-US" w:eastAsia="zh-CN"/>
              </w:rPr>
              <w:t>6</w:t>
            </w:r>
            <w:r>
              <w:rPr>
                <w:rFonts w:hint="eastAsia" w:ascii="宋体" w:hAnsi="宋体" w:cs="宋体"/>
                <w:color w:val="000000"/>
                <w:sz w:val="22"/>
              </w:rPr>
              <w:t>分，中：</w:t>
            </w:r>
            <w:r>
              <w:rPr>
                <w:rFonts w:hint="eastAsia" w:ascii="宋体" w:hAnsi="宋体" w:cs="宋体"/>
                <w:color w:val="000000"/>
                <w:sz w:val="22"/>
                <w:lang w:val="en-US" w:eastAsia="zh-CN"/>
              </w:rPr>
              <w:t>3</w:t>
            </w:r>
            <w:r>
              <w:rPr>
                <w:rFonts w:hint="eastAsia" w:ascii="宋体" w:hAnsi="宋体" w:cs="宋体"/>
                <w:color w:val="000000"/>
                <w:sz w:val="22"/>
              </w:rPr>
              <w:t>分，</w:t>
            </w:r>
            <w:r>
              <w:rPr>
                <w:rFonts w:hint="eastAsia" w:ascii="宋体" w:hAnsi="宋体" w:cs="宋体"/>
                <w:color w:val="000000"/>
                <w:sz w:val="22"/>
                <w:lang w:val="en-US" w:eastAsia="zh-CN"/>
              </w:rPr>
              <w:t>一般</w:t>
            </w:r>
            <w:r>
              <w:rPr>
                <w:rFonts w:hint="eastAsia" w:ascii="宋体" w:hAnsi="宋体" w:cs="宋体"/>
                <w:color w:val="000000"/>
                <w:sz w:val="22"/>
              </w:rPr>
              <w:t>：</w:t>
            </w:r>
            <w:r>
              <w:rPr>
                <w:rFonts w:hint="eastAsia" w:ascii="宋体" w:hAnsi="宋体" w:cs="宋体"/>
                <w:color w:val="000000"/>
                <w:sz w:val="22"/>
                <w:lang w:val="en-US" w:eastAsia="zh-CN"/>
              </w:rPr>
              <w:t>1</w:t>
            </w:r>
            <w:r>
              <w:rPr>
                <w:rFonts w:hint="eastAsia" w:ascii="宋体" w:hAnsi="宋体" w:cs="宋体"/>
                <w:color w:val="000000"/>
                <w:sz w:val="22"/>
              </w:rPr>
              <w:t>分。未提供不得分）</w:t>
            </w:r>
          </w:p>
        </w:tc>
        <w:tc>
          <w:tcPr>
            <w:tcW w:w="721" w:type="pct"/>
            <w:vAlign w:val="center"/>
          </w:tcPr>
          <w:p w14:paraId="35251C94">
            <w:pPr>
              <w:spacing w:line="240" w:lineRule="auto"/>
              <w:ind w:firstLine="0" w:firstLineChars="0"/>
              <w:jc w:val="center"/>
              <w:rPr>
                <w:rFonts w:ascii="宋体" w:hAnsi="宋体" w:cs="宋体"/>
                <w:sz w:val="22"/>
              </w:rPr>
            </w:pPr>
            <w:r>
              <w:rPr>
                <w:rFonts w:hint="eastAsia" w:ascii="宋体" w:hAnsi="宋体" w:cs="宋体"/>
                <w:sz w:val="22"/>
                <w:lang w:val="en-US" w:eastAsia="zh-CN"/>
              </w:rPr>
              <w:t>6</w:t>
            </w:r>
            <w:r>
              <w:rPr>
                <w:rFonts w:hint="eastAsia" w:ascii="宋体" w:hAnsi="宋体" w:cs="宋体"/>
                <w:sz w:val="22"/>
              </w:rPr>
              <w:t>分</w:t>
            </w:r>
          </w:p>
        </w:tc>
      </w:tr>
      <w:bookmarkEnd w:id="0"/>
      <w:bookmarkEnd w:id="1"/>
    </w:tbl>
    <w:p w14:paraId="45EBF025">
      <w:pPr>
        <w:adjustRightInd w:val="0"/>
        <w:snapToGrid w:val="0"/>
        <w:ind w:firstLine="480"/>
        <w:rPr>
          <w:rFonts w:ascii="宋体" w:hAnsi="宋体"/>
          <w:sz w:val="24"/>
          <w:szCs w:val="24"/>
        </w:rPr>
      </w:pPr>
      <w:r>
        <w:rPr>
          <w:rFonts w:hint="eastAsia" w:ascii="宋体" w:hAnsi="宋体"/>
          <w:sz w:val="24"/>
          <w:szCs w:val="24"/>
        </w:rPr>
        <w:t>1、参照《中华人民共和国招标投标法》以及有关规定结合本项目的特点制定本评标办法。</w:t>
      </w:r>
    </w:p>
    <w:p w14:paraId="0F598804">
      <w:pPr>
        <w:adjustRightInd w:val="0"/>
        <w:snapToGrid w:val="0"/>
        <w:ind w:firstLine="480"/>
        <w:rPr>
          <w:rFonts w:ascii="宋体" w:hAnsi="宋体"/>
          <w:sz w:val="24"/>
          <w:szCs w:val="24"/>
        </w:rPr>
      </w:pPr>
      <w:r>
        <w:rPr>
          <w:rFonts w:hint="eastAsia" w:ascii="宋体" w:hAnsi="宋体"/>
          <w:sz w:val="24"/>
          <w:szCs w:val="24"/>
        </w:rPr>
        <w:t>2、评标原则</w:t>
      </w:r>
    </w:p>
    <w:p w14:paraId="34CE00E0">
      <w:pPr>
        <w:adjustRightInd w:val="0"/>
        <w:snapToGrid w:val="0"/>
        <w:ind w:firstLine="480"/>
        <w:rPr>
          <w:rFonts w:ascii="宋体" w:hAnsi="宋体"/>
          <w:sz w:val="24"/>
          <w:szCs w:val="24"/>
        </w:rPr>
      </w:pPr>
      <w:r>
        <w:rPr>
          <w:rFonts w:hint="eastAsia" w:ascii="宋体" w:hAnsi="宋体"/>
          <w:sz w:val="24"/>
          <w:szCs w:val="24"/>
        </w:rPr>
        <w:t>（1）投标人提交的投标文件应符合招标文件的规定和要求。</w:t>
      </w:r>
    </w:p>
    <w:p w14:paraId="76AF7799">
      <w:pPr>
        <w:adjustRightInd w:val="0"/>
        <w:snapToGrid w:val="0"/>
        <w:ind w:firstLine="480"/>
        <w:rPr>
          <w:rFonts w:ascii="宋体" w:hAnsi="宋体"/>
          <w:sz w:val="24"/>
          <w:szCs w:val="24"/>
        </w:rPr>
      </w:pPr>
      <w:r>
        <w:rPr>
          <w:rFonts w:hint="eastAsia" w:ascii="宋体" w:hAnsi="宋体"/>
          <w:sz w:val="24"/>
          <w:szCs w:val="24"/>
        </w:rPr>
        <w:t>（2）评标活动遵循公平、公正、科学、择优的原则。</w:t>
      </w:r>
    </w:p>
    <w:p w14:paraId="7BDDF9B4">
      <w:pPr>
        <w:adjustRightInd w:val="0"/>
        <w:snapToGrid w:val="0"/>
        <w:ind w:firstLine="480"/>
        <w:rPr>
          <w:rFonts w:ascii="宋体" w:hAnsi="宋体"/>
          <w:sz w:val="24"/>
          <w:szCs w:val="24"/>
        </w:rPr>
      </w:pPr>
      <w:r>
        <w:rPr>
          <w:rFonts w:hint="eastAsia" w:ascii="宋体" w:hAnsi="宋体"/>
          <w:sz w:val="24"/>
          <w:szCs w:val="24"/>
        </w:rPr>
        <w:t>（3）本评标办法未尽事宜以现行招标投标法律法规为准。</w:t>
      </w:r>
    </w:p>
    <w:p w14:paraId="481A9162">
      <w:pPr>
        <w:adjustRightInd w:val="0"/>
        <w:snapToGrid w:val="0"/>
        <w:ind w:firstLine="482"/>
        <w:rPr>
          <w:rFonts w:ascii="宋体" w:hAnsi="宋体"/>
          <w:b/>
          <w:sz w:val="24"/>
          <w:szCs w:val="24"/>
        </w:rPr>
      </w:pPr>
      <w:r>
        <w:rPr>
          <w:rFonts w:hint="eastAsia" w:ascii="宋体" w:hAnsi="宋体"/>
          <w:b/>
          <w:sz w:val="24"/>
          <w:szCs w:val="24"/>
        </w:rPr>
        <w:t>二、评标委员会</w:t>
      </w:r>
    </w:p>
    <w:p w14:paraId="0EAC877D">
      <w:pPr>
        <w:adjustRightInd w:val="0"/>
        <w:snapToGrid w:val="0"/>
        <w:ind w:firstLine="480"/>
        <w:rPr>
          <w:rFonts w:ascii="宋体" w:hAnsi="宋体"/>
          <w:sz w:val="24"/>
          <w:szCs w:val="24"/>
        </w:rPr>
      </w:pPr>
      <w:r>
        <w:rPr>
          <w:rFonts w:hint="eastAsia" w:ascii="宋体" w:hAnsi="宋体"/>
          <w:sz w:val="24"/>
          <w:szCs w:val="24"/>
        </w:rPr>
        <w:t>1、评标委员会由招标</w:t>
      </w:r>
      <w:r>
        <w:rPr>
          <w:rFonts w:hint="eastAsia" w:ascii="宋体" w:hAnsi="宋体"/>
          <w:sz w:val="24"/>
          <w:szCs w:val="24"/>
          <w:lang w:val="en-US" w:eastAsia="zh-CN"/>
        </w:rPr>
        <w:t>科室及使用科室组成</w:t>
      </w:r>
      <w:r>
        <w:rPr>
          <w:rFonts w:hint="eastAsia" w:ascii="宋体" w:hAnsi="宋体"/>
          <w:sz w:val="24"/>
          <w:szCs w:val="24"/>
        </w:rPr>
        <w:t>。</w:t>
      </w:r>
    </w:p>
    <w:p w14:paraId="090431D3">
      <w:pPr>
        <w:adjustRightInd w:val="0"/>
        <w:snapToGrid w:val="0"/>
        <w:ind w:firstLine="482"/>
        <w:rPr>
          <w:rFonts w:ascii="宋体" w:hAnsi="宋体"/>
          <w:b/>
          <w:sz w:val="24"/>
          <w:szCs w:val="24"/>
        </w:rPr>
      </w:pPr>
      <w:r>
        <w:rPr>
          <w:rFonts w:hint="eastAsia" w:ascii="宋体" w:hAnsi="宋体"/>
          <w:b/>
          <w:sz w:val="24"/>
          <w:szCs w:val="24"/>
        </w:rPr>
        <w:t>三、评标程序及具体办法</w:t>
      </w:r>
    </w:p>
    <w:p w14:paraId="48B08A8F">
      <w:pPr>
        <w:adjustRightInd w:val="0"/>
        <w:snapToGrid w:val="0"/>
        <w:ind w:firstLine="480"/>
        <w:rPr>
          <w:rFonts w:ascii="宋体" w:hAnsi="宋体"/>
          <w:sz w:val="24"/>
          <w:szCs w:val="24"/>
        </w:rPr>
      </w:pPr>
      <w:r>
        <w:rPr>
          <w:rFonts w:hint="eastAsia" w:ascii="宋体" w:hAnsi="宋体"/>
          <w:sz w:val="24"/>
          <w:szCs w:val="24"/>
        </w:rPr>
        <w:t>1、评标委员会对实质性响应招标文件的投标文件进行评价和比较。</w:t>
      </w:r>
    </w:p>
    <w:p w14:paraId="2F8A0267">
      <w:pPr>
        <w:adjustRightInd w:val="0"/>
        <w:snapToGrid w:val="0"/>
        <w:ind w:firstLine="480"/>
        <w:rPr>
          <w:rFonts w:ascii="宋体" w:hAnsi="宋体"/>
          <w:sz w:val="24"/>
          <w:szCs w:val="24"/>
        </w:rPr>
      </w:pPr>
      <w:r>
        <w:rPr>
          <w:rFonts w:hint="eastAsia" w:ascii="宋体" w:hAnsi="宋体"/>
          <w:sz w:val="24"/>
          <w:szCs w:val="24"/>
        </w:rPr>
        <w:t>2、本次招标采取打分的办法进行评标，满分为100分。评标委员会从以下几方面对标段的投标文件分别进行详细评审和打分，并根据总得分高低分别进行排名，确定中标人1名。</w:t>
      </w:r>
    </w:p>
    <w:p w14:paraId="2A96BE82">
      <w:pPr>
        <w:adjustRightInd w:val="0"/>
        <w:snapToGrid w:val="0"/>
        <w:ind w:firstLine="480"/>
        <w:rPr>
          <w:rFonts w:ascii="宋体" w:hAnsi="宋体"/>
          <w:sz w:val="24"/>
          <w:szCs w:val="24"/>
        </w:rPr>
      </w:pPr>
      <w:r>
        <w:rPr>
          <w:rFonts w:hint="eastAsia" w:ascii="宋体" w:hAnsi="宋体"/>
          <w:sz w:val="24"/>
          <w:szCs w:val="24"/>
        </w:rPr>
        <w:t>3、具体打分办法如上表。</w:t>
      </w:r>
    </w:p>
    <w:p w14:paraId="7B658D0E">
      <w:pPr>
        <w:adjustRightInd w:val="0"/>
        <w:snapToGrid w:val="0"/>
        <w:ind w:firstLine="482"/>
        <w:rPr>
          <w:rFonts w:ascii="宋体" w:hAnsi="宋体"/>
          <w:b/>
          <w:sz w:val="24"/>
          <w:szCs w:val="24"/>
        </w:rPr>
      </w:pPr>
      <w:r>
        <w:rPr>
          <w:rFonts w:hint="eastAsia" w:ascii="宋体" w:hAnsi="宋体"/>
          <w:b/>
          <w:sz w:val="24"/>
          <w:szCs w:val="24"/>
        </w:rPr>
        <w:t>四、计分办法</w:t>
      </w:r>
    </w:p>
    <w:p w14:paraId="68602D50">
      <w:pPr>
        <w:adjustRightInd w:val="0"/>
        <w:snapToGrid w:val="0"/>
        <w:ind w:firstLine="480"/>
        <w:rPr>
          <w:rFonts w:ascii="宋体" w:hAnsi="宋体"/>
          <w:sz w:val="24"/>
          <w:szCs w:val="24"/>
        </w:rPr>
      </w:pPr>
      <w:r>
        <w:rPr>
          <w:rFonts w:hint="eastAsia" w:ascii="宋体" w:hAnsi="宋体"/>
          <w:sz w:val="24"/>
          <w:szCs w:val="24"/>
        </w:rPr>
        <w:t>（1）评标委员会成员按照招标文件和本办法上述有关规定,给各投标文件评分。</w:t>
      </w:r>
    </w:p>
    <w:p w14:paraId="20282CB5">
      <w:pPr>
        <w:adjustRightInd w:val="0"/>
        <w:snapToGrid w:val="0"/>
        <w:ind w:firstLine="480"/>
        <w:rPr>
          <w:rFonts w:ascii="宋体" w:hAnsi="宋体"/>
          <w:sz w:val="24"/>
          <w:szCs w:val="24"/>
        </w:rPr>
      </w:pPr>
      <w:r>
        <w:rPr>
          <w:rFonts w:hint="eastAsia" w:ascii="宋体" w:hAnsi="宋体"/>
          <w:sz w:val="24"/>
          <w:szCs w:val="24"/>
        </w:rPr>
        <w:t>（2）各投标人的得分为各评委所评定分数的算术平均值。</w:t>
      </w:r>
    </w:p>
    <w:p w14:paraId="60497737">
      <w:pPr>
        <w:adjustRightInd w:val="0"/>
        <w:snapToGrid w:val="0"/>
        <w:ind w:firstLine="480"/>
        <w:rPr>
          <w:rFonts w:ascii="宋体" w:hAnsi="宋体"/>
          <w:sz w:val="24"/>
          <w:szCs w:val="24"/>
        </w:rPr>
      </w:pPr>
      <w:r>
        <w:rPr>
          <w:rFonts w:hint="eastAsia" w:ascii="宋体" w:hAnsi="宋体"/>
          <w:sz w:val="24"/>
          <w:szCs w:val="24"/>
        </w:rPr>
        <w:t>（3）各项统计、评分结果均按四舍五入方法精确到小数点后两位。</w:t>
      </w:r>
    </w:p>
    <w:p w14:paraId="4D4CA00C">
      <w:r>
        <w:rPr>
          <w:rFonts w:hint="eastAsia" w:ascii="宋体" w:hAnsi="宋体"/>
          <w:sz w:val="24"/>
          <w:szCs w:val="24"/>
        </w:rPr>
        <w:t>（4）评标委员会根据各投标人投标的最终评分,按高低次序确定投标人最终的排列名次，并按照招标文件中规定推荐三名合格的中标候选人。如果投标人的最终评分相同，则投标报价低的投</w:t>
      </w:r>
      <w:bookmarkStart w:id="2" w:name="_GoBack"/>
      <w:bookmarkEnd w:id="2"/>
      <w:r>
        <w:rPr>
          <w:rFonts w:hint="eastAsia" w:ascii="宋体" w:hAnsi="宋体"/>
          <w:sz w:val="24"/>
          <w:szCs w:val="24"/>
        </w:rPr>
        <w:t>标人排名优先。</w:t>
      </w:r>
    </w:p>
    <w:sectPr>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91C23"/>
    <w:rsid w:val="06EE2458"/>
    <w:rsid w:val="07035F04"/>
    <w:rsid w:val="0B380146"/>
    <w:rsid w:val="0C9615C8"/>
    <w:rsid w:val="11B76268"/>
    <w:rsid w:val="13180F89"/>
    <w:rsid w:val="14DB4B7D"/>
    <w:rsid w:val="186B3909"/>
    <w:rsid w:val="18B2778A"/>
    <w:rsid w:val="19FA1E52"/>
    <w:rsid w:val="1B18328F"/>
    <w:rsid w:val="1B4548E5"/>
    <w:rsid w:val="1CA05B12"/>
    <w:rsid w:val="25F74A2E"/>
    <w:rsid w:val="26751DF6"/>
    <w:rsid w:val="267C13D7"/>
    <w:rsid w:val="28341F69"/>
    <w:rsid w:val="29226266"/>
    <w:rsid w:val="2AEA4B61"/>
    <w:rsid w:val="2C1C64BB"/>
    <w:rsid w:val="2E3A7BAD"/>
    <w:rsid w:val="35786D81"/>
    <w:rsid w:val="37824373"/>
    <w:rsid w:val="39642886"/>
    <w:rsid w:val="3C0D06AF"/>
    <w:rsid w:val="3D915310"/>
    <w:rsid w:val="413E0DF0"/>
    <w:rsid w:val="424D4890"/>
    <w:rsid w:val="45846632"/>
    <w:rsid w:val="4A404814"/>
    <w:rsid w:val="4F584517"/>
    <w:rsid w:val="50D77086"/>
    <w:rsid w:val="52D91C23"/>
    <w:rsid w:val="58D7777B"/>
    <w:rsid w:val="5E3873B6"/>
    <w:rsid w:val="5EC450EE"/>
    <w:rsid w:val="626369CC"/>
    <w:rsid w:val="65F53DDF"/>
    <w:rsid w:val="660F30F2"/>
    <w:rsid w:val="6BD5099E"/>
    <w:rsid w:val="6C4F48BA"/>
    <w:rsid w:val="7A6D7762"/>
    <w:rsid w:val="7AC44C54"/>
    <w:rsid w:val="7B362A78"/>
    <w:rsid w:val="7C091F3A"/>
    <w:rsid w:val="7D6E474B"/>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10"/>
      <w:sz w:val="28"/>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5">
    <w:name w:val="List Paragraph"/>
    <w:basedOn w:val="1"/>
    <w:qFormat/>
    <w:uiPriority w:val="0"/>
    <w:pPr>
      <w:ind w:firstLine="0" w:firstLineChars="0"/>
      <w:jc w:val="left"/>
    </w:pPr>
    <w:rPr>
      <w:rFonts w:eastAsiaTheme="minorEastAsia"/>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1187</Words>
  <Characters>1204</Characters>
  <Lines>0</Lines>
  <Paragraphs>0</Paragraphs>
  <TotalTime>19</TotalTime>
  <ScaleCrop>false</ScaleCrop>
  <LinksUpToDate>false</LinksUpToDate>
  <CharactersWithSpaces>1207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2026-01-15T06:54:00Z</dcterms:created>
  <dc:creator>1</dc:creator>
  <cp:lastModifiedBy>路人卯</cp:lastModifiedBy>
  <cp:lastPrinted>2026-05-08T02:02:00Z</cp:lastPrinted>
  <dcterms:modified xsi:type="dcterms:W3CDTF">2026-05-11T01:48:00Z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B520CDBAA12E4175A53CB945D62C91F1_11</vt:lpwstr>
  </property>
  <property fmtid="{D5CDD505-2E9C-101B-9397-08002B2CF9AE}" pid="4" name="KSOTemplateDocerSaveRecord">
    <vt:lpwstr>eyJoZGlkIjoiNzg5OTczYzc1YmQyYzZlOTBkOWVlNzdkOGY4ZTZmNjAiLCJ1c2VySWQiOiI1OTM1MzYwMDgifQ==</vt:lpwstr>
  </property>
</Properties>
</file>