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732" w:type="pct"/>
        <w:tblInd w:w="-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165"/>
        <w:gridCol w:w="6050"/>
        <w:gridCol w:w="1409"/>
      </w:tblGrid>
      <w:tr w14:paraId="7F66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86" w:type="pct"/>
            <w:vAlign w:val="center"/>
          </w:tcPr>
          <w:p w14:paraId="6F1AA5C5">
            <w:pPr>
              <w:spacing w:line="240" w:lineRule="auto"/>
              <w:ind w:firstLine="0" w:firstLineChars="0"/>
              <w:jc w:val="center"/>
              <w:rPr>
                <w:rFonts w:ascii="宋体" w:hAnsi="宋体" w:cs="宋体"/>
                <w:b/>
                <w:sz w:val="22"/>
              </w:rPr>
            </w:pPr>
            <w:bookmarkStart w:id="0" w:name="_Toc9990"/>
            <w:bookmarkStart w:id="1" w:name="_Toc506205272"/>
            <w:r>
              <w:rPr>
                <w:rFonts w:hint="eastAsia" w:ascii="宋体" w:hAnsi="宋体" w:cs="宋体"/>
                <w:b/>
                <w:sz w:val="22"/>
              </w:rPr>
              <w:t>序号</w:t>
            </w:r>
          </w:p>
        </w:tc>
        <w:tc>
          <w:tcPr>
            <w:tcW w:w="3692" w:type="pct"/>
            <w:gridSpan w:val="2"/>
            <w:vAlign w:val="center"/>
          </w:tcPr>
          <w:p w14:paraId="2548C479">
            <w:pPr>
              <w:spacing w:line="240" w:lineRule="auto"/>
              <w:ind w:firstLine="0" w:firstLineChars="0"/>
              <w:jc w:val="center"/>
              <w:rPr>
                <w:rFonts w:ascii="宋体" w:hAnsi="宋体" w:cs="宋体"/>
                <w:b/>
                <w:sz w:val="22"/>
              </w:rPr>
            </w:pPr>
            <w:r>
              <w:rPr>
                <w:rFonts w:hint="eastAsia" w:ascii="宋体" w:hAnsi="宋体" w:cs="宋体"/>
                <w:b/>
                <w:sz w:val="22"/>
              </w:rPr>
              <w:t>评 分 细 则</w:t>
            </w:r>
          </w:p>
        </w:tc>
        <w:tc>
          <w:tcPr>
            <w:tcW w:w="721" w:type="pct"/>
            <w:vAlign w:val="center"/>
          </w:tcPr>
          <w:p w14:paraId="237F3951">
            <w:pPr>
              <w:spacing w:line="240" w:lineRule="auto"/>
              <w:ind w:firstLine="0" w:firstLineChars="0"/>
              <w:jc w:val="center"/>
              <w:rPr>
                <w:rFonts w:ascii="宋体" w:hAnsi="宋体" w:cs="宋体"/>
                <w:b/>
                <w:sz w:val="22"/>
              </w:rPr>
            </w:pPr>
            <w:r>
              <w:rPr>
                <w:rFonts w:hint="eastAsia" w:ascii="宋体" w:hAnsi="宋体" w:cs="宋体"/>
                <w:b/>
                <w:sz w:val="22"/>
              </w:rPr>
              <w:t>分值</w:t>
            </w:r>
          </w:p>
        </w:tc>
      </w:tr>
      <w:tr w14:paraId="20AA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Align w:val="center"/>
          </w:tcPr>
          <w:p w14:paraId="1D0377D9">
            <w:pPr>
              <w:spacing w:line="240" w:lineRule="auto"/>
              <w:ind w:firstLine="0" w:firstLineChars="0"/>
              <w:jc w:val="center"/>
              <w:rPr>
                <w:rFonts w:ascii="宋体" w:hAnsi="宋体" w:cs="宋体"/>
                <w:sz w:val="22"/>
              </w:rPr>
            </w:pPr>
            <w:r>
              <w:rPr>
                <w:rFonts w:hint="eastAsia" w:ascii="宋体" w:hAnsi="宋体" w:cs="宋体"/>
                <w:sz w:val="22"/>
              </w:rPr>
              <w:t>1</w:t>
            </w:r>
          </w:p>
        </w:tc>
        <w:tc>
          <w:tcPr>
            <w:tcW w:w="596" w:type="pct"/>
            <w:vAlign w:val="center"/>
          </w:tcPr>
          <w:p w14:paraId="525DB8E9">
            <w:pPr>
              <w:spacing w:line="240" w:lineRule="auto"/>
              <w:ind w:firstLine="0" w:firstLineChars="0"/>
              <w:jc w:val="center"/>
              <w:rPr>
                <w:rFonts w:ascii="宋体" w:hAnsi="宋体" w:cs="宋体"/>
                <w:sz w:val="22"/>
              </w:rPr>
            </w:pPr>
            <w:r>
              <w:rPr>
                <w:rFonts w:hint="eastAsia" w:ascii="宋体" w:hAnsi="宋体" w:cs="宋体"/>
                <w:sz w:val="22"/>
              </w:rPr>
              <w:t>价格分</w:t>
            </w:r>
          </w:p>
          <w:p w14:paraId="46AAE17C">
            <w:pPr>
              <w:spacing w:line="240" w:lineRule="auto"/>
              <w:ind w:firstLine="0" w:firstLineChars="0"/>
              <w:jc w:val="center"/>
              <w:rPr>
                <w:rFonts w:ascii="宋体" w:hAnsi="宋体" w:cs="宋体"/>
                <w:sz w:val="22"/>
              </w:rPr>
            </w:pPr>
            <w:r>
              <w:rPr>
                <w:rFonts w:hint="eastAsia" w:ascii="宋体" w:hAnsi="宋体" w:cs="宋体"/>
                <w:sz w:val="22"/>
                <w:lang w:val="en-US" w:eastAsia="zh-CN"/>
              </w:rPr>
              <w:t>4</w:t>
            </w:r>
            <w:r>
              <w:rPr>
                <w:rFonts w:hint="eastAsia" w:ascii="宋体" w:hAnsi="宋体" w:cs="宋体"/>
                <w:sz w:val="22"/>
              </w:rPr>
              <w:t>0分</w:t>
            </w:r>
          </w:p>
        </w:tc>
        <w:tc>
          <w:tcPr>
            <w:tcW w:w="3096" w:type="pct"/>
            <w:vAlign w:val="center"/>
          </w:tcPr>
          <w:p w14:paraId="4BEE3892">
            <w:pPr>
              <w:ind w:firstLine="0" w:firstLineChars="0"/>
              <w:jc w:val="left"/>
              <w:rPr>
                <w:rFonts w:ascii="宋体" w:hAnsi="宋体" w:cs="宋体"/>
                <w:sz w:val="22"/>
              </w:rPr>
            </w:pPr>
            <w:r>
              <w:rPr>
                <w:rFonts w:hint="eastAsia" w:ascii="宋体" w:hAnsi="宋体" w:cs="宋体"/>
                <w:kern w:val="0"/>
                <w:sz w:val="22"/>
              </w:rPr>
              <w:t>采用低价优先法计算，即满足招标文件要求且投标价格最低的投标报价为评标基准价，其价格分为满分。其他供应商的价格分按照下列公式计算（小数点保留二位）：投标报价得分=(评标基准价／投标报价)×</w:t>
            </w:r>
            <w:r>
              <w:rPr>
                <w:rFonts w:hint="eastAsia" w:ascii="宋体" w:hAnsi="宋体" w:cs="宋体"/>
                <w:kern w:val="0"/>
                <w:sz w:val="22"/>
                <w:lang w:val="en-US" w:eastAsia="zh-CN"/>
              </w:rPr>
              <w:t>4</w:t>
            </w:r>
            <w:r>
              <w:rPr>
                <w:rFonts w:hint="eastAsia" w:ascii="宋体" w:hAnsi="宋体" w:cs="宋体"/>
                <w:kern w:val="0"/>
                <w:sz w:val="22"/>
              </w:rPr>
              <w:t>0</w:t>
            </w:r>
            <w:r>
              <w:rPr>
                <w:rFonts w:hint="eastAsia" w:ascii="仿宋" w:hAnsi="仿宋" w:eastAsia="仿宋"/>
                <w:sz w:val="18"/>
                <w:szCs w:val="18"/>
              </w:rPr>
              <w:t>。</w:t>
            </w:r>
          </w:p>
        </w:tc>
        <w:tc>
          <w:tcPr>
            <w:tcW w:w="721" w:type="pct"/>
            <w:vAlign w:val="center"/>
          </w:tcPr>
          <w:p w14:paraId="1CF928B6">
            <w:pPr>
              <w:spacing w:line="240" w:lineRule="auto"/>
              <w:ind w:firstLine="0" w:firstLineChars="0"/>
              <w:jc w:val="center"/>
              <w:rPr>
                <w:rFonts w:ascii="宋体" w:hAnsi="宋体" w:cs="宋体"/>
                <w:sz w:val="22"/>
              </w:rPr>
            </w:pPr>
            <w:r>
              <w:rPr>
                <w:rFonts w:hint="eastAsia" w:ascii="宋体" w:hAnsi="宋体" w:cs="宋体"/>
                <w:sz w:val="22"/>
                <w:lang w:val="en-US" w:eastAsia="zh-CN"/>
              </w:rPr>
              <w:t>4</w:t>
            </w:r>
            <w:r>
              <w:rPr>
                <w:rFonts w:hint="eastAsia" w:ascii="宋体" w:hAnsi="宋体" w:cs="宋体"/>
                <w:sz w:val="22"/>
              </w:rPr>
              <w:t>0分</w:t>
            </w:r>
          </w:p>
        </w:tc>
      </w:tr>
      <w:tr w14:paraId="6469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Align w:val="center"/>
          </w:tcPr>
          <w:p w14:paraId="58FA2A2F">
            <w:pPr>
              <w:spacing w:line="240" w:lineRule="auto"/>
              <w:ind w:firstLine="0" w:firstLineChars="0"/>
              <w:jc w:val="center"/>
              <w:rPr>
                <w:rFonts w:ascii="宋体" w:hAnsi="宋体" w:cs="宋体"/>
                <w:sz w:val="22"/>
              </w:rPr>
            </w:pPr>
            <w:r>
              <w:rPr>
                <w:rFonts w:hint="eastAsia" w:ascii="宋体" w:hAnsi="宋体" w:cs="宋体"/>
                <w:sz w:val="22"/>
              </w:rPr>
              <w:t>2</w:t>
            </w:r>
          </w:p>
        </w:tc>
        <w:tc>
          <w:tcPr>
            <w:tcW w:w="596" w:type="pct"/>
            <w:vAlign w:val="center"/>
          </w:tcPr>
          <w:p w14:paraId="63A493F6">
            <w:pPr>
              <w:ind w:firstLine="0" w:firstLineChars="0"/>
              <w:jc w:val="center"/>
              <w:rPr>
                <w:rFonts w:ascii="宋体" w:hAnsi="宋体" w:cs="宋体"/>
                <w:bCs/>
                <w:sz w:val="22"/>
              </w:rPr>
            </w:pPr>
            <w:r>
              <w:rPr>
                <w:rFonts w:hint="eastAsia" w:ascii="宋体" w:hAnsi="宋体" w:cs="宋体"/>
                <w:bCs/>
                <w:sz w:val="22"/>
              </w:rPr>
              <w:t>技术参数响应</w:t>
            </w:r>
          </w:p>
          <w:p w14:paraId="2CD3CA88">
            <w:pPr>
              <w:spacing w:line="240" w:lineRule="auto"/>
              <w:ind w:firstLine="0" w:firstLineChars="0"/>
              <w:jc w:val="center"/>
              <w:rPr>
                <w:rFonts w:ascii="宋体" w:hAnsi="宋体" w:cs="宋体"/>
                <w:sz w:val="22"/>
              </w:rPr>
            </w:pPr>
            <w:r>
              <w:rPr>
                <w:rFonts w:hint="eastAsia" w:ascii="宋体" w:hAnsi="宋体" w:cs="宋体"/>
                <w:sz w:val="22"/>
              </w:rPr>
              <w:t>10分</w:t>
            </w:r>
          </w:p>
        </w:tc>
        <w:tc>
          <w:tcPr>
            <w:tcW w:w="3096" w:type="pct"/>
            <w:vAlign w:val="center"/>
          </w:tcPr>
          <w:p w14:paraId="52BB7FCC">
            <w:pPr>
              <w:ind w:firstLine="0" w:firstLineChars="0"/>
              <w:jc w:val="left"/>
              <w:rPr>
                <w:rFonts w:hint="eastAsia" w:ascii="宋体" w:hAnsi="宋体" w:cs="宋体"/>
                <w:kern w:val="0"/>
                <w:sz w:val="22"/>
                <w:lang w:eastAsia="zh-CN"/>
              </w:rPr>
            </w:pPr>
            <w:r>
              <w:rPr>
                <w:rFonts w:hint="eastAsia" w:ascii="宋体" w:hAnsi="宋体" w:cs="宋体"/>
                <w:kern w:val="0"/>
                <w:sz w:val="22"/>
              </w:rPr>
              <w:t>投标人</w:t>
            </w:r>
            <w:r>
              <w:rPr>
                <w:rFonts w:hint="eastAsia" w:ascii="宋体" w:hAnsi="宋体" w:cs="宋体"/>
                <w:kern w:val="0"/>
                <w:sz w:val="22"/>
                <w:lang w:eastAsia="zh-CN"/>
              </w:rPr>
              <w:t>需</w:t>
            </w:r>
            <w:r>
              <w:rPr>
                <w:rFonts w:hint="eastAsia" w:ascii="宋体" w:hAnsi="宋体" w:cs="宋体"/>
                <w:kern w:val="0"/>
                <w:sz w:val="22"/>
              </w:rPr>
              <w:t>提供</w:t>
            </w:r>
            <w:r>
              <w:rPr>
                <w:rFonts w:hint="eastAsia" w:ascii="宋体" w:hAnsi="宋体" w:cs="宋体"/>
                <w:kern w:val="0"/>
                <w:sz w:val="22"/>
                <w:lang w:eastAsia="zh-CN"/>
              </w:rPr>
              <w:t>采购清单中</w:t>
            </w:r>
          </w:p>
          <w:p w14:paraId="77B391FA">
            <w:pPr>
              <w:numPr>
                <w:ilvl w:val="0"/>
                <w:numId w:val="0"/>
              </w:numPr>
              <w:jc w:val="left"/>
              <w:rPr>
                <w:rFonts w:hint="eastAsia" w:ascii="宋体" w:hAnsi="宋体" w:cs="宋体"/>
                <w:kern w:val="0"/>
                <w:sz w:val="22"/>
                <w:lang w:eastAsia="zh-CN"/>
              </w:rPr>
            </w:pPr>
            <w:r>
              <w:rPr>
                <w:rFonts w:hint="eastAsia" w:ascii="宋体" w:hAnsi="宋体" w:cs="宋体"/>
                <w:kern w:val="0"/>
                <w:sz w:val="22"/>
                <w:lang w:eastAsia="zh-CN"/>
              </w:rPr>
              <w:t>1，压力蒸气灭菌指示标签/过氧化氢灭菌指示标签/低温灭菌指示标签，</w:t>
            </w:r>
            <w:r>
              <w:rPr>
                <w:rFonts w:hint="eastAsia" w:ascii="宋体" w:hAnsi="宋体" w:cs="宋体"/>
                <w:kern w:val="0"/>
                <w:sz w:val="22"/>
                <w:lang w:val="en-US" w:eastAsia="zh-CN"/>
              </w:rPr>
              <w:t>需提供生产厂家</w:t>
            </w:r>
            <w:r>
              <w:rPr>
                <w:rFonts w:hint="eastAsia" w:ascii="宋体" w:hAnsi="宋体" w:cs="宋体"/>
                <w:kern w:val="0"/>
                <w:sz w:val="22"/>
                <w:lang w:eastAsia="zh-CN"/>
              </w:rPr>
              <w:t>：消毒产品生产企业卫生许可证，安全评价报告；</w:t>
            </w:r>
          </w:p>
          <w:p w14:paraId="51C3AF8A">
            <w:pPr>
              <w:numPr>
                <w:ilvl w:val="0"/>
                <w:numId w:val="0"/>
              </w:numPr>
              <w:jc w:val="left"/>
              <w:rPr>
                <w:rFonts w:hint="eastAsia" w:ascii="宋体" w:hAnsi="宋体" w:cs="宋体"/>
                <w:kern w:val="0"/>
                <w:sz w:val="22"/>
                <w:lang w:eastAsia="zh-CN"/>
              </w:rPr>
            </w:pPr>
            <w:r>
              <w:rPr>
                <w:rFonts w:hint="eastAsia" w:ascii="宋体" w:hAnsi="宋体" w:cs="宋体"/>
                <w:kern w:val="0"/>
                <w:sz w:val="22"/>
                <w:lang w:eastAsia="zh-CN"/>
              </w:rPr>
              <w:t>2,标准防护服</w:t>
            </w:r>
            <w:r>
              <w:rPr>
                <w:rFonts w:hint="eastAsia" w:ascii="宋体" w:hAnsi="宋体" w:cs="宋体"/>
                <w:kern w:val="0"/>
                <w:sz w:val="22"/>
                <w:lang w:val="en-US" w:eastAsia="zh-CN"/>
              </w:rPr>
              <w:t>需提供</w:t>
            </w:r>
            <w:r>
              <w:rPr>
                <w:rFonts w:hint="eastAsia" w:ascii="宋体" w:hAnsi="宋体" w:cs="宋体"/>
                <w:kern w:val="0"/>
                <w:sz w:val="22"/>
                <w:lang w:eastAsia="zh-CN"/>
              </w:rPr>
              <w:t>二类医疗器械注册证；</w:t>
            </w:r>
          </w:p>
          <w:p w14:paraId="41DD395D">
            <w:pPr>
              <w:numPr>
                <w:ilvl w:val="0"/>
                <w:numId w:val="0"/>
              </w:numPr>
              <w:jc w:val="left"/>
              <w:rPr>
                <w:rFonts w:hint="eastAsia" w:ascii="宋体" w:hAnsi="宋体" w:cs="宋体"/>
                <w:kern w:val="0"/>
                <w:sz w:val="22"/>
                <w:lang w:eastAsia="zh-CN"/>
              </w:rPr>
            </w:pPr>
            <w:r>
              <w:rPr>
                <w:rFonts w:hint="eastAsia" w:ascii="宋体" w:hAnsi="宋体" w:cs="宋体"/>
                <w:kern w:val="0"/>
                <w:sz w:val="22"/>
                <w:lang w:eastAsia="zh-CN"/>
              </w:rPr>
              <w:t>3，一次性采血垫需要提供医疗器械注册证；</w:t>
            </w:r>
          </w:p>
          <w:p w14:paraId="5A0DD376">
            <w:pPr>
              <w:numPr>
                <w:ilvl w:val="0"/>
                <w:numId w:val="0"/>
              </w:numPr>
              <w:jc w:val="left"/>
              <w:rPr>
                <w:rFonts w:hint="eastAsia" w:ascii="宋体" w:hAnsi="宋体" w:cs="宋体"/>
                <w:kern w:val="0"/>
                <w:sz w:val="22"/>
                <w:lang w:eastAsia="zh-CN"/>
              </w:rPr>
            </w:pPr>
            <w:r>
              <w:rPr>
                <w:rFonts w:hint="eastAsia" w:ascii="宋体" w:hAnsi="宋体" w:cs="宋体"/>
                <w:kern w:val="0"/>
                <w:sz w:val="22"/>
                <w:lang w:eastAsia="zh-CN"/>
              </w:rPr>
              <w:t>4，醋酸白抑菌液/卢格氏碘液抑菌液--消毒类二类，需要安评报告。</w:t>
            </w:r>
          </w:p>
          <w:p w14:paraId="7473FC44">
            <w:pPr>
              <w:numPr>
                <w:ilvl w:val="0"/>
                <w:numId w:val="0"/>
              </w:numPr>
              <w:jc w:val="left"/>
              <w:rPr>
                <w:rFonts w:ascii="宋体" w:hAnsi="宋体" w:cs="宋体"/>
                <w:kern w:val="0"/>
                <w:sz w:val="22"/>
              </w:rPr>
            </w:pPr>
            <w:r>
              <w:rPr>
                <w:rFonts w:hint="eastAsia" w:ascii="宋体" w:hAnsi="宋体" w:cs="宋体"/>
                <w:kern w:val="0"/>
                <w:sz w:val="22"/>
              </w:rPr>
              <w:t>完全响应即满足招标文件的指标要求、参数要求的得10分；有负偏离每项扣</w:t>
            </w:r>
            <w:r>
              <w:rPr>
                <w:rFonts w:hint="eastAsia" w:ascii="宋体" w:hAnsi="宋体" w:cs="宋体"/>
                <w:kern w:val="0"/>
                <w:sz w:val="22"/>
                <w:lang w:val="en-US" w:eastAsia="zh-CN"/>
              </w:rPr>
              <w:t>3</w:t>
            </w:r>
            <w:r>
              <w:rPr>
                <w:rFonts w:hint="eastAsia" w:ascii="宋体" w:hAnsi="宋体" w:cs="宋体"/>
                <w:kern w:val="0"/>
                <w:sz w:val="22"/>
              </w:rPr>
              <w:t>分，本项分值扣完为止。</w:t>
            </w:r>
          </w:p>
        </w:tc>
        <w:tc>
          <w:tcPr>
            <w:tcW w:w="721" w:type="pct"/>
            <w:vAlign w:val="center"/>
          </w:tcPr>
          <w:p w14:paraId="7B501660">
            <w:pPr>
              <w:spacing w:line="240" w:lineRule="auto"/>
              <w:ind w:firstLine="0" w:firstLineChars="0"/>
              <w:jc w:val="center"/>
              <w:rPr>
                <w:rFonts w:ascii="宋体" w:hAnsi="宋体" w:cs="宋体"/>
                <w:sz w:val="22"/>
              </w:rPr>
            </w:pPr>
            <w:r>
              <w:rPr>
                <w:rFonts w:hint="eastAsia" w:ascii="宋体" w:hAnsi="宋体" w:cs="宋体"/>
                <w:sz w:val="22"/>
              </w:rPr>
              <w:t>10分</w:t>
            </w:r>
          </w:p>
        </w:tc>
      </w:tr>
      <w:tr w14:paraId="46B6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Merge w:val="restart"/>
            <w:vAlign w:val="center"/>
          </w:tcPr>
          <w:p w14:paraId="48C5C177">
            <w:pPr>
              <w:spacing w:line="240" w:lineRule="auto"/>
              <w:ind w:firstLine="0" w:firstLineChars="0"/>
              <w:jc w:val="center"/>
              <w:rPr>
                <w:rFonts w:hint="eastAsia" w:ascii="宋体" w:hAnsi="宋体" w:eastAsia="宋体" w:cs="宋体"/>
                <w:sz w:val="22"/>
                <w:lang w:val="en-US" w:eastAsia="zh-CN"/>
              </w:rPr>
            </w:pPr>
            <w:r>
              <w:rPr>
                <w:rFonts w:hint="eastAsia" w:ascii="宋体" w:hAnsi="宋体" w:cs="宋体"/>
                <w:sz w:val="22"/>
                <w:lang w:val="en-US" w:eastAsia="zh-CN"/>
              </w:rPr>
              <w:t>3</w:t>
            </w:r>
          </w:p>
        </w:tc>
        <w:tc>
          <w:tcPr>
            <w:tcW w:w="596" w:type="pct"/>
            <w:vMerge w:val="restart"/>
            <w:vAlign w:val="center"/>
          </w:tcPr>
          <w:p w14:paraId="1EA13AD9">
            <w:pPr>
              <w:spacing w:line="240" w:lineRule="auto"/>
              <w:ind w:firstLine="0" w:firstLineChars="0"/>
              <w:jc w:val="center"/>
              <w:rPr>
                <w:rFonts w:hint="default" w:ascii="宋体" w:hAnsi="宋体" w:eastAsia="宋体" w:cs="宋体"/>
                <w:sz w:val="22"/>
                <w:lang w:val="en-US" w:eastAsia="zh-CN"/>
              </w:rPr>
            </w:pPr>
            <w:r>
              <w:rPr>
                <w:rFonts w:hint="eastAsia" w:ascii="宋体" w:hAnsi="宋体" w:cs="宋体"/>
                <w:sz w:val="22"/>
                <w:lang w:eastAsia="zh-CN"/>
              </w:rPr>
              <w:t>样品</w:t>
            </w:r>
            <w:r>
              <w:rPr>
                <w:rFonts w:hint="eastAsia" w:ascii="宋体" w:hAnsi="宋体" w:cs="宋体"/>
                <w:sz w:val="22"/>
                <w:lang w:val="en-US" w:eastAsia="zh-CN"/>
              </w:rPr>
              <w:t>25分</w:t>
            </w:r>
          </w:p>
        </w:tc>
        <w:tc>
          <w:tcPr>
            <w:tcW w:w="3096" w:type="pct"/>
            <w:vAlign w:val="center"/>
          </w:tcPr>
          <w:p w14:paraId="0B524A12">
            <w:pPr>
              <w:numPr>
                <w:ilvl w:val="0"/>
                <w:numId w:val="0"/>
              </w:numPr>
              <w:jc w:val="left"/>
              <w:rPr>
                <w:rFonts w:hint="eastAsia" w:eastAsia="宋体"/>
                <w:lang w:eastAsia="zh-CN"/>
              </w:rPr>
            </w:pPr>
            <w:r>
              <w:rPr>
                <w:rFonts w:hint="eastAsia" w:ascii="宋体" w:hAnsi="宋体" w:cs="宋体"/>
                <w:kern w:val="0"/>
                <w:sz w:val="22"/>
                <w:lang w:val="en-US"/>
              </w:rPr>
              <w:t>各投标人</w:t>
            </w:r>
            <w:r>
              <w:rPr>
                <w:rFonts w:hint="eastAsia" w:ascii="宋体" w:hAnsi="宋体" w:cs="宋体"/>
                <w:kern w:val="0"/>
                <w:sz w:val="22"/>
                <w:lang w:val="en-US" w:eastAsia="zh-CN"/>
              </w:rPr>
              <w:t>需提供清单中8、14、15、17、19、</w:t>
            </w:r>
            <w:bookmarkStart w:id="2" w:name="_GoBack"/>
            <w:bookmarkEnd w:id="2"/>
            <w:r>
              <w:rPr>
                <w:rFonts w:hint="eastAsia" w:ascii="宋体" w:hAnsi="宋体" w:cs="宋体"/>
                <w:kern w:val="0"/>
                <w:sz w:val="22"/>
                <w:lang w:val="en-US" w:eastAsia="zh-CN"/>
              </w:rPr>
              <w:t>24、26、29</w:t>
            </w:r>
            <w:r>
              <w:rPr>
                <w:rFonts w:hint="eastAsia" w:ascii="宋体" w:hAnsi="宋体" w:cs="宋体"/>
                <w:kern w:val="0"/>
                <w:sz w:val="22"/>
                <w:lang w:val="en-US"/>
              </w:rPr>
              <w:t>样品，样品提供齐全的得</w:t>
            </w:r>
            <w:r>
              <w:rPr>
                <w:rFonts w:hint="eastAsia" w:ascii="宋体" w:hAnsi="宋体" w:cs="宋体"/>
                <w:kern w:val="0"/>
                <w:sz w:val="22"/>
                <w:lang w:val="en-US" w:eastAsia="zh-CN"/>
              </w:rPr>
              <w:t>5</w:t>
            </w:r>
            <w:r>
              <w:rPr>
                <w:rFonts w:hint="eastAsia" w:ascii="宋体" w:hAnsi="宋体" w:cs="宋体"/>
                <w:kern w:val="0"/>
                <w:sz w:val="22"/>
                <w:lang w:val="en-US"/>
              </w:rPr>
              <w:t>分，</w:t>
            </w:r>
            <w:r>
              <w:rPr>
                <w:rFonts w:hint="eastAsia" w:ascii="宋体" w:hAnsi="宋体" w:cs="宋体"/>
                <w:kern w:val="0"/>
                <w:sz w:val="22"/>
                <w:lang w:val="en-US" w:eastAsia="zh-CN"/>
              </w:rPr>
              <w:t>样品不全的得0分。</w:t>
            </w:r>
          </w:p>
        </w:tc>
        <w:tc>
          <w:tcPr>
            <w:tcW w:w="721" w:type="pct"/>
            <w:vAlign w:val="center"/>
          </w:tcPr>
          <w:p w14:paraId="658E3B0A">
            <w:pPr>
              <w:spacing w:line="240" w:lineRule="auto"/>
              <w:ind w:firstLine="0" w:firstLineChars="0"/>
              <w:jc w:val="center"/>
              <w:rPr>
                <w:rFonts w:hint="eastAsia" w:ascii="宋体" w:hAnsi="宋体" w:eastAsia="宋体" w:cs="宋体"/>
                <w:sz w:val="22"/>
                <w:lang w:val="en-US" w:eastAsia="zh-CN"/>
              </w:rPr>
            </w:pPr>
            <w:r>
              <w:rPr>
                <w:rFonts w:hint="eastAsia" w:ascii="宋体" w:hAnsi="宋体" w:cs="宋体"/>
                <w:sz w:val="22"/>
                <w:lang w:val="en-US" w:eastAsia="zh-CN"/>
              </w:rPr>
              <w:t>5分</w:t>
            </w:r>
          </w:p>
        </w:tc>
      </w:tr>
      <w:tr w14:paraId="3FC6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Merge w:val="continue"/>
            <w:vAlign w:val="center"/>
          </w:tcPr>
          <w:p w14:paraId="324F4AA1">
            <w:pPr>
              <w:spacing w:line="240" w:lineRule="auto"/>
              <w:ind w:firstLine="0" w:firstLineChars="0"/>
              <w:jc w:val="center"/>
              <w:rPr>
                <w:rFonts w:hint="default" w:ascii="宋体" w:hAnsi="宋体" w:cs="宋体"/>
                <w:sz w:val="22"/>
                <w:lang w:val="en-US" w:eastAsia="zh-CN"/>
              </w:rPr>
            </w:pPr>
          </w:p>
        </w:tc>
        <w:tc>
          <w:tcPr>
            <w:tcW w:w="596" w:type="pct"/>
            <w:vMerge w:val="continue"/>
            <w:vAlign w:val="center"/>
          </w:tcPr>
          <w:p w14:paraId="448AA3B4">
            <w:pPr>
              <w:spacing w:line="240" w:lineRule="auto"/>
              <w:ind w:firstLine="0" w:firstLineChars="0"/>
              <w:jc w:val="center"/>
              <w:rPr>
                <w:rFonts w:hint="eastAsia" w:ascii="宋体" w:hAnsi="宋体" w:cs="宋体"/>
                <w:sz w:val="22"/>
                <w:lang w:eastAsia="zh-CN"/>
              </w:rPr>
            </w:pPr>
          </w:p>
        </w:tc>
        <w:tc>
          <w:tcPr>
            <w:tcW w:w="3096" w:type="pct"/>
            <w:vAlign w:val="center"/>
          </w:tcPr>
          <w:p w14:paraId="0583DEA1">
            <w:pPr>
              <w:ind w:left="0" w:leftChars="0" w:firstLine="0" w:firstLineChars="0"/>
              <w:rPr>
                <w:rFonts w:hint="eastAsia" w:ascii="宋体" w:hAnsi="宋体" w:eastAsia="宋体" w:cs="宋体"/>
                <w:bCs/>
                <w:color w:val="000000" w:themeColor="text1"/>
                <w:sz w:val="22"/>
                <w:szCs w:val="22"/>
                <w:highlight w:val="none"/>
                <w:lang w:val="en-US"/>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评委对</w:t>
            </w:r>
            <w:r>
              <w:rPr>
                <w:rFonts w:hint="eastAsia" w:ascii="宋体" w:hAnsi="宋体" w:eastAsia="宋体" w:cs="宋体"/>
                <w:bCs/>
                <w:color w:val="000000" w:themeColor="text1"/>
                <w:sz w:val="22"/>
                <w:szCs w:val="22"/>
                <w:highlight w:val="none"/>
                <w:lang w:val="en-US"/>
                <w14:textFill>
                  <w14:solidFill>
                    <w14:schemeClr w14:val="tx1"/>
                  </w14:solidFill>
                </w14:textFill>
              </w:rPr>
              <w:t>投标样品</w:t>
            </w:r>
            <w:r>
              <w:rPr>
                <w:rFonts w:hint="eastAsia" w:ascii="宋体" w:hAnsi="宋体" w:cs="宋体"/>
                <w:bCs/>
                <w:color w:val="000000" w:themeColor="text1"/>
                <w:sz w:val="22"/>
                <w:szCs w:val="22"/>
                <w:highlight w:val="none"/>
                <w:lang w:val="en-US" w:eastAsia="zh-CN"/>
                <w14:textFill>
                  <w14:solidFill>
                    <w14:schemeClr w14:val="tx1"/>
                  </w14:solidFill>
                </w14:textFill>
              </w:rPr>
              <w:t>的质量及参数要求进行评审</w:t>
            </w:r>
            <w:r>
              <w:rPr>
                <w:rFonts w:hint="eastAsia" w:ascii="宋体" w:hAnsi="宋体" w:eastAsia="宋体" w:cs="宋体"/>
                <w:bCs/>
                <w:color w:val="000000" w:themeColor="text1"/>
                <w:sz w:val="22"/>
                <w:szCs w:val="22"/>
                <w:highlight w:val="none"/>
                <w:lang w:val="en-US"/>
                <w14:textFill>
                  <w14:solidFill>
                    <w14:schemeClr w14:val="tx1"/>
                  </w14:solidFill>
                </w14:textFill>
              </w:rPr>
              <w:t>（</w:t>
            </w:r>
            <w:r>
              <w:rPr>
                <w:rFonts w:hint="eastAsia" w:ascii="宋体" w:hAnsi="宋体" w:cs="宋体"/>
                <w:bCs/>
                <w:color w:val="000000" w:themeColor="text1"/>
                <w:sz w:val="22"/>
                <w:szCs w:val="22"/>
                <w:highlight w:val="none"/>
                <w:lang w:val="en-US" w:eastAsia="zh-CN"/>
                <w14:textFill>
                  <w14:solidFill>
                    <w14:schemeClr w14:val="tx1"/>
                  </w14:solidFill>
                </w14:textFill>
              </w:rPr>
              <w:t>20</w:t>
            </w:r>
            <w:r>
              <w:rPr>
                <w:rFonts w:hint="eastAsia" w:ascii="宋体" w:hAnsi="宋体" w:eastAsia="宋体" w:cs="宋体"/>
                <w:bCs/>
                <w:color w:val="000000" w:themeColor="text1"/>
                <w:sz w:val="22"/>
                <w:szCs w:val="22"/>
                <w:highlight w:val="none"/>
                <w:lang w:val="en-US"/>
                <w14:textFill>
                  <w14:solidFill>
                    <w14:schemeClr w14:val="tx1"/>
                  </w14:solidFill>
                </w14:textFill>
              </w:rPr>
              <w:t>分）：</w:t>
            </w:r>
          </w:p>
          <w:p w14:paraId="044C2324">
            <w:pPr>
              <w:ind w:firstLine="0" w:firstLineChars="0"/>
              <w:jc w:val="left"/>
              <w:rPr>
                <w:rFonts w:hint="eastAsia" w:ascii="宋体" w:hAnsi="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14:textFill>
                  <w14:solidFill>
                    <w14:schemeClr w14:val="tx1"/>
                  </w14:solidFill>
                </w14:textFill>
              </w:rPr>
              <w:t>（</w:t>
            </w:r>
            <w:r>
              <w:rPr>
                <w:rFonts w:hint="eastAsia" w:ascii="宋体" w:hAnsi="宋体" w:cs="宋体"/>
                <w:bCs/>
                <w:color w:val="000000" w:themeColor="text1"/>
                <w:sz w:val="22"/>
                <w:szCs w:val="22"/>
                <w:highlight w:val="none"/>
                <w:lang w:val="en-US" w:eastAsia="zh-CN"/>
                <w14:textFill>
                  <w14:solidFill>
                    <w14:schemeClr w14:val="tx1"/>
                  </w14:solidFill>
                </w14:textFill>
              </w:rPr>
              <w:t>提供样品完全符合清单参数要求，得20分，</w:t>
            </w:r>
            <w:r>
              <w:rPr>
                <w:rFonts w:hint="eastAsia" w:ascii="宋体" w:hAnsi="宋体" w:cs="宋体"/>
                <w:kern w:val="0"/>
                <w:sz w:val="22"/>
              </w:rPr>
              <w:t>有负偏离每项扣</w:t>
            </w:r>
            <w:r>
              <w:rPr>
                <w:rFonts w:hint="eastAsia" w:ascii="宋体" w:hAnsi="宋体" w:cs="宋体"/>
                <w:kern w:val="0"/>
                <w:sz w:val="22"/>
                <w:lang w:val="en-US" w:eastAsia="zh-CN"/>
              </w:rPr>
              <w:t>4</w:t>
            </w:r>
            <w:r>
              <w:rPr>
                <w:rFonts w:hint="eastAsia" w:ascii="宋体" w:hAnsi="宋体" w:cs="宋体"/>
                <w:kern w:val="0"/>
                <w:sz w:val="22"/>
              </w:rPr>
              <w:t>分，本项分值扣完为止。</w:t>
            </w:r>
          </w:p>
        </w:tc>
        <w:tc>
          <w:tcPr>
            <w:tcW w:w="721" w:type="pct"/>
            <w:vAlign w:val="center"/>
          </w:tcPr>
          <w:p w14:paraId="1CB3A13B">
            <w:pPr>
              <w:spacing w:line="240" w:lineRule="auto"/>
              <w:ind w:firstLine="0" w:firstLineChars="0"/>
              <w:jc w:val="center"/>
              <w:rPr>
                <w:rFonts w:hint="default" w:ascii="宋体" w:hAnsi="宋体" w:cs="宋体"/>
                <w:sz w:val="22"/>
                <w:lang w:val="en-US" w:eastAsia="zh-CN"/>
              </w:rPr>
            </w:pPr>
            <w:r>
              <w:rPr>
                <w:rFonts w:hint="eastAsia" w:ascii="宋体" w:hAnsi="宋体" w:cs="宋体"/>
                <w:sz w:val="22"/>
                <w:lang w:val="en-US" w:eastAsia="zh-CN"/>
              </w:rPr>
              <w:t>20分</w:t>
            </w:r>
          </w:p>
        </w:tc>
      </w:tr>
      <w:tr w14:paraId="2747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586" w:type="pct"/>
            <w:vAlign w:val="center"/>
          </w:tcPr>
          <w:p w14:paraId="52FDDDD6">
            <w:pPr>
              <w:spacing w:line="240" w:lineRule="auto"/>
              <w:ind w:firstLine="0" w:firstLineChars="0"/>
              <w:jc w:val="center"/>
              <w:rPr>
                <w:rFonts w:hint="eastAsia" w:ascii="宋体" w:hAnsi="宋体" w:eastAsia="宋体" w:cs="宋体"/>
                <w:sz w:val="22"/>
                <w:lang w:eastAsia="zh-CN"/>
              </w:rPr>
            </w:pPr>
            <w:r>
              <w:rPr>
                <w:rFonts w:hint="eastAsia" w:ascii="宋体" w:hAnsi="宋体" w:cs="宋体"/>
                <w:sz w:val="22"/>
                <w:lang w:val="en-US" w:eastAsia="zh-CN"/>
              </w:rPr>
              <w:t>4</w:t>
            </w:r>
          </w:p>
        </w:tc>
        <w:tc>
          <w:tcPr>
            <w:tcW w:w="596" w:type="pct"/>
            <w:vAlign w:val="center"/>
          </w:tcPr>
          <w:p w14:paraId="24B538C1">
            <w:pPr>
              <w:ind w:firstLine="0" w:firstLineChars="0"/>
              <w:jc w:val="center"/>
              <w:rPr>
                <w:rFonts w:ascii="宋体" w:hAnsi="宋体" w:cs="宋体"/>
                <w:color w:val="000000"/>
                <w:sz w:val="22"/>
              </w:rPr>
            </w:pPr>
            <w:r>
              <w:rPr>
                <w:rFonts w:hint="eastAsia" w:ascii="宋体" w:hAnsi="宋体" w:cs="宋体"/>
                <w:color w:val="000000"/>
                <w:sz w:val="22"/>
              </w:rPr>
              <w:t>业绩</w:t>
            </w:r>
          </w:p>
          <w:p w14:paraId="22F19ACA">
            <w:pPr>
              <w:ind w:firstLine="0" w:firstLineChars="0"/>
              <w:jc w:val="center"/>
              <w:rPr>
                <w:rFonts w:ascii="宋体" w:hAnsi="宋体" w:cs="宋体"/>
                <w:color w:val="000000"/>
                <w:sz w:val="22"/>
              </w:rPr>
            </w:pPr>
            <w:r>
              <w:rPr>
                <w:rFonts w:hint="eastAsia" w:ascii="宋体" w:hAnsi="宋体" w:cs="宋体"/>
                <w:color w:val="000000"/>
                <w:sz w:val="22"/>
                <w:lang w:val="en-US" w:eastAsia="zh-CN"/>
              </w:rPr>
              <w:t>5</w:t>
            </w:r>
            <w:r>
              <w:rPr>
                <w:rFonts w:hint="eastAsia" w:ascii="宋体" w:hAnsi="宋体" w:cs="宋体"/>
                <w:color w:val="000000"/>
                <w:sz w:val="22"/>
              </w:rPr>
              <w:t>分</w:t>
            </w:r>
          </w:p>
        </w:tc>
        <w:tc>
          <w:tcPr>
            <w:tcW w:w="3096" w:type="pct"/>
            <w:vAlign w:val="center"/>
          </w:tcPr>
          <w:p w14:paraId="62DBCA79">
            <w:pPr>
              <w:ind w:firstLine="0" w:firstLineChars="0"/>
              <w:jc w:val="left"/>
              <w:rPr>
                <w:rFonts w:ascii="宋体" w:hAnsi="宋体" w:cs="宋体"/>
                <w:color w:val="000000"/>
                <w:sz w:val="22"/>
              </w:rPr>
            </w:pPr>
            <w:r>
              <w:rPr>
                <w:rFonts w:hint="eastAsia" w:ascii="宋体" w:hAnsi="宋体" w:cs="宋体"/>
                <w:color w:val="000000"/>
                <w:sz w:val="22"/>
              </w:rPr>
              <w:t>投标人提供（或制造厂家）自20</w:t>
            </w:r>
            <w:r>
              <w:rPr>
                <w:rFonts w:hint="eastAsia" w:ascii="宋体" w:hAnsi="宋体" w:cs="宋体"/>
                <w:color w:val="000000"/>
                <w:sz w:val="22"/>
                <w:lang w:val="en-US" w:eastAsia="zh-CN"/>
              </w:rPr>
              <w:t>23</w:t>
            </w:r>
            <w:r>
              <w:rPr>
                <w:rFonts w:hint="eastAsia" w:ascii="宋体" w:hAnsi="宋体" w:cs="宋体"/>
                <w:color w:val="000000"/>
                <w:sz w:val="22"/>
              </w:rPr>
              <w:t>年</w:t>
            </w:r>
            <w:r>
              <w:rPr>
                <w:rFonts w:hint="eastAsia" w:ascii="宋体" w:hAnsi="宋体" w:cs="宋体"/>
                <w:color w:val="000000"/>
                <w:sz w:val="22"/>
                <w:lang w:val="en-US" w:eastAsia="zh-CN"/>
              </w:rPr>
              <w:t>1</w:t>
            </w:r>
            <w:r>
              <w:rPr>
                <w:rFonts w:hint="eastAsia" w:ascii="宋体" w:hAnsi="宋体" w:cs="宋体"/>
                <w:color w:val="000000"/>
                <w:sz w:val="22"/>
              </w:rPr>
              <w:t>月1日（含）以来承接过</w:t>
            </w:r>
            <w:r>
              <w:rPr>
                <w:rFonts w:hint="eastAsia" w:ascii="宋体" w:hAnsi="宋体" w:cs="宋体"/>
                <w:color w:val="000000"/>
                <w:sz w:val="22"/>
                <w:lang w:val="en-US" w:eastAsia="zh-CN"/>
              </w:rPr>
              <w:t>医疗器械</w:t>
            </w:r>
            <w:r>
              <w:rPr>
                <w:rFonts w:hint="eastAsia" w:ascii="宋体" w:hAnsi="宋体" w:cs="宋体"/>
                <w:color w:val="000000"/>
                <w:sz w:val="22"/>
                <w:lang w:eastAsia="zh-CN"/>
              </w:rPr>
              <w:t>类</w:t>
            </w:r>
            <w:r>
              <w:rPr>
                <w:rFonts w:hint="eastAsia" w:ascii="宋体" w:hAnsi="宋体" w:cs="宋体"/>
                <w:color w:val="000000"/>
                <w:sz w:val="22"/>
              </w:rPr>
              <w:t>供应类似业绩的有1项得</w:t>
            </w:r>
            <w:r>
              <w:rPr>
                <w:rFonts w:hint="eastAsia" w:ascii="宋体" w:hAnsi="宋体" w:cs="宋体"/>
                <w:color w:val="000000"/>
                <w:sz w:val="22"/>
                <w:lang w:val="en-US" w:eastAsia="zh-CN"/>
              </w:rPr>
              <w:t>3</w:t>
            </w:r>
            <w:r>
              <w:rPr>
                <w:rFonts w:hint="eastAsia" w:ascii="宋体" w:hAnsi="宋体" w:cs="宋体"/>
                <w:color w:val="000000"/>
                <w:sz w:val="22"/>
              </w:rPr>
              <w:t>分，最高得</w:t>
            </w:r>
            <w:r>
              <w:rPr>
                <w:rFonts w:hint="eastAsia" w:ascii="宋体" w:hAnsi="宋体" w:cs="宋体"/>
                <w:color w:val="000000"/>
                <w:sz w:val="22"/>
                <w:lang w:val="en-US" w:eastAsia="zh-CN"/>
              </w:rPr>
              <w:t>5</w:t>
            </w:r>
            <w:r>
              <w:rPr>
                <w:rFonts w:hint="eastAsia" w:ascii="宋体" w:hAnsi="宋体" w:cs="宋体"/>
                <w:color w:val="000000"/>
                <w:sz w:val="22"/>
              </w:rPr>
              <w:t>分。（需提供合同复印件加盖投标人公章，时间、采购品类以合同为准。如合同未反应相关数据，视为未提供。)</w:t>
            </w:r>
          </w:p>
        </w:tc>
        <w:tc>
          <w:tcPr>
            <w:tcW w:w="721" w:type="pct"/>
            <w:vAlign w:val="center"/>
          </w:tcPr>
          <w:p w14:paraId="698900CC">
            <w:pPr>
              <w:spacing w:line="240" w:lineRule="auto"/>
              <w:ind w:firstLine="0" w:firstLineChars="0"/>
              <w:jc w:val="center"/>
              <w:rPr>
                <w:rFonts w:ascii="宋体" w:hAnsi="宋体" w:cs="宋体"/>
                <w:sz w:val="22"/>
              </w:rPr>
            </w:pPr>
            <w:r>
              <w:rPr>
                <w:rFonts w:hint="eastAsia" w:ascii="宋体" w:hAnsi="宋体" w:cs="宋体"/>
                <w:sz w:val="22"/>
                <w:lang w:val="en-US" w:eastAsia="zh-CN"/>
              </w:rPr>
              <w:t>5</w:t>
            </w:r>
            <w:r>
              <w:rPr>
                <w:rFonts w:hint="eastAsia" w:ascii="宋体" w:hAnsi="宋体" w:cs="宋体"/>
                <w:sz w:val="22"/>
              </w:rPr>
              <w:t>分</w:t>
            </w:r>
          </w:p>
        </w:tc>
      </w:tr>
      <w:tr w14:paraId="1DF9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86" w:type="pct"/>
            <w:vMerge w:val="restart"/>
            <w:vAlign w:val="center"/>
          </w:tcPr>
          <w:p w14:paraId="100458EF">
            <w:pPr>
              <w:spacing w:line="240" w:lineRule="auto"/>
              <w:ind w:firstLine="0" w:firstLineChars="0"/>
              <w:jc w:val="center"/>
              <w:rPr>
                <w:rFonts w:hint="eastAsia" w:ascii="宋体" w:hAnsi="宋体" w:eastAsia="宋体" w:cs="宋体"/>
                <w:sz w:val="22"/>
                <w:lang w:eastAsia="zh-CN"/>
              </w:rPr>
            </w:pPr>
            <w:r>
              <w:rPr>
                <w:rFonts w:hint="eastAsia" w:ascii="宋体" w:hAnsi="宋体" w:cs="宋体"/>
                <w:sz w:val="22"/>
                <w:lang w:val="en-US" w:eastAsia="zh-CN"/>
              </w:rPr>
              <w:t>5</w:t>
            </w:r>
          </w:p>
        </w:tc>
        <w:tc>
          <w:tcPr>
            <w:tcW w:w="596" w:type="pct"/>
            <w:vMerge w:val="restart"/>
            <w:vAlign w:val="center"/>
          </w:tcPr>
          <w:p w14:paraId="0CDD52DD">
            <w:pPr>
              <w:spacing w:line="240" w:lineRule="auto"/>
              <w:ind w:firstLine="0" w:firstLineChars="0"/>
              <w:jc w:val="center"/>
              <w:rPr>
                <w:rFonts w:ascii="宋体" w:hAnsi="宋体" w:cs="宋体"/>
                <w:sz w:val="22"/>
              </w:rPr>
            </w:pPr>
            <w:r>
              <w:rPr>
                <w:rFonts w:hint="eastAsia" w:ascii="宋体" w:hAnsi="宋体" w:cs="宋体"/>
                <w:bCs/>
                <w:sz w:val="22"/>
              </w:rPr>
              <w:t>服务方案</w:t>
            </w:r>
            <w:r>
              <w:rPr>
                <w:rFonts w:hint="eastAsia" w:ascii="宋体" w:hAnsi="宋体" w:cs="宋体"/>
                <w:bCs/>
                <w:sz w:val="22"/>
                <w:lang w:val="en-US" w:eastAsia="zh-CN"/>
              </w:rPr>
              <w:t>20</w:t>
            </w:r>
            <w:r>
              <w:rPr>
                <w:rFonts w:hint="eastAsia" w:ascii="宋体" w:hAnsi="宋体" w:cs="宋体"/>
                <w:bCs/>
                <w:sz w:val="22"/>
              </w:rPr>
              <w:t>分</w:t>
            </w:r>
          </w:p>
        </w:tc>
        <w:tc>
          <w:tcPr>
            <w:tcW w:w="3096" w:type="pct"/>
            <w:vAlign w:val="center"/>
          </w:tcPr>
          <w:p w14:paraId="5E9FD3B1">
            <w:pPr>
              <w:widowControl/>
              <w:ind w:firstLine="0" w:firstLineChars="0"/>
              <w:rPr>
                <w:rFonts w:ascii="宋体" w:hAnsi="宋体" w:cs="宋体"/>
                <w:color w:val="000000"/>
                <w:sz w:val="22"/>
              </w:rPr>
            </w:pPr>
            <w:r>
              <w:rPr>
                <w:rFonts w:hint="eastAsia" w:ascii="宋体" w:hAnsi="宋体" w:cs="宋体"/>
                <w:color w:val="000000"/>
                <w:sz w:val="22"/>
              </w:rPr>
              <w:t>评委对投标人针对本项目的整体供货的实施计划（包括配送时间、配送方式、人力物力安排、生产工艺流程控制、质量控制保证措施等）等综合评分。</w:t>
            </w:r>
          </w:p>
          <w:p w14:paraId="025884C1">
            <w:pPr>
              <w:ind w:firstLine="0" w:firstLineChars="0"/>
              <w:jc w:val="left"/>
              <w:rPr>
                <w:rFonts w:ascii="宋体" w:hAnsi="宋体" w:cs="宋体"/>
                <w:color w:val="000000"/>
                <w:sz w:val="22"/>
              </w:rPr>
            </w:pPr>
            <w:r>
              <w:rPr>
                <w:rFonts w:hint="eastAsia" w:ascii="宋体" w:hAnsi="宋体" w:cs="宋体"/>
                <w:color w:val="000000"/>
                <w:sz w:val="22"/>
              </w:rPr>
              <w:t>（满分</w:t>
            </w:r>
            <w:r>
              <w:rPr>
                <w:rFonts w:hint="eastAsia" w:ascii="宋体" w:hAnsi="宋体" w:cs="宋体"/>
                <w:color w:val="000000"/>
                <w:sz w:val="22"/>
                <w:lang w:val="en-US" w:eastAsia="zh-CN"/>
              </w:rPr>
              <w:t>7</w:t>
            </w:r>
            <w:r>
              <w:rPr>
                <w:rFonts w:hint="eastAsia" w:ascii="宋体" w:hAnsi="宋体" w:cs="宋体"/>
                <w:color w:val="000000"/>
                <w:sz w:val="22"/>
              </w:rPr>
              <w:t>分。优：</w:t>
            </w:r>
            <w:r>
              <w:rPr>
                <w:rFonts w:hint="eastAsia" w:ascii="宋体" w:hAnsi="宋体" w:cs="宋体"/>
                <w:color w:val="000000"/>
                <w:sz w:val="22"/>
                <w:lang w:val="en-US" w:eastAsia="zh-CN"/>
              </w:rPr>
              <w:t>7</w:t>
            </w:r>
            <w:r>
              <w:rPr>
                <w:rFonts w:hint="eastAsia" w:ascii="宋体" w:hAnsi="宋体" w:cs="宋体"/>
                <w:color w:val="000000"/>
                <w:sz w:val="22"/>
              </w:rPr>
              <w:t>分，良：</w:t>
            </w:r>
            <w:r>
              <w:rPr>
                <w:rFonts w:hint="eastAsia" w:ascii="宋体" w:hAnsi="宋体" w:cs="宋体"/>
                <w:color w:val="000000"/>
                <w:sz w:val="22"/>
                <w:lang w:val="en-US" w:eastAsia="zh-CN"/>
              </w:rPr>
              <w:t>5</w:t>
            </w:r>
            <w:r>
              <w:rPr>
                <w:rFonts w:hint="eastAsia" w:ascii="宋体" w:hAnsi="宋体" w:cs="宋体"/>
                <w:color w:val="000000"/>
                <w:sz w:val="22"/>
              </w:rPr>
              <w:t>分，中：</w:t>
            </w:r>
            <w:r>
              <w:rPr>
                <w:rFonts w:hint="eastAsia" w:ascii="宋体" w:hAnsi="宋体" w:cs="宋体"/>
                <w:color w:val="000000"/>
                <w:sz w:val="22"/>
                <w:lang w:val="en-US" w:eastAsia="zh-CN"/>
              </w:rPr>
              <w:t>3</w:t>
            </w:r>
            <w:r>
              <w:rPr>
                <w:rFonts w:hint="eastAsia" w:ascii="宋体" w:hAnsi="宋体" w:cs="宋体"/>
                <w:color w:val="000000"/>
                <w:sz w:val="22"/>
              </w:rPr>
              <w:t>分，差：</w:t>
            </w:r>
            <w:r>
              <w:rPr>
                <w:rFonts w:hint="eastAsia" w:ascii="宋体" w:hAnsi="宋体" w:cs="宋体"/>
                <w:color w:val="000000"/>
                <w:sz w:val="22"/>
                <w:lang w:val="en-US" w:eastAsia="zh-CN"/>
              </w:rPr>
              <w:t>1</w:t>
            </w:r>
            <w:r>
              <w:rPr>
                <w:rFonts w:hint="eastAsia" w:ascii="宋体" w:hAnsi="宋体" w:cs="宋体"/>
                <w:color w:val="000000"/>
                <w:sz w:val="22"/>
              </w:rPr>
              <w:t>分，无：0分。未提供不得分）</w:t>
            </w:r>
          </w:p>
        </w:tc>
        <w:tc>
          <w:tcPr>
            <w:tcW w:w="721" w:type="pct"/>
            <w:vAlign w:val="center"/>
          </w:tcPr>
          <w:p w14:paraId="5BE4D0B2">
            <w:pPr>
              <w:spacing w:line="240" w:lineRule="auto"/>
              <w:ind w:firstLine="0" w:firstLineChars="0"/>
              <w:jc w:val="center"/>
              <w:rPr>
                <w:rFonts w:ascii="宋体" w:hAnsi="宋体" w:cs="宋体"/>
                <w:sz w:val="22"/>
              </w:rPr>
            </w:pPr>
            <w:r>
              <w:rPr>
                <w:rFonts w:hint="eastAsia" w:ascii="宋体" w:hAnsi="宋体" w:cs="宋体"/>
                <w:sz w:val="22"/>
                <w:lang w:val="en-US" w:eastAsia="zh-CN"/>
              </w:rPr>
              <w:t>7</w:t>
            </w:r>
            <w:r>
              <w:rPr>
                <w:rFonts w:hint="eastAsia" w:ascii="宋体" w:hAnsi="宋体" w:cs="宋体"/>
                <w:sz w:val="22"/>
              </w:rPr>
              <w:t>分</w:t>
            </w:r>
          </w:p>
        </w:tc>
      </w:tr>
      <w:tr w14:paraId="48D8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86" w:type="pct"/>
            <w:vMerge w:val="continue"/>
            <w:vAlign w:val="center"/>
          </w:tcPr>
          <w:p w14:paraId="78750793">
            <w:pPr>
              <w:spacing w:line="240" w:lineRule="auto"/>
              <w:ind w:firstLine="0" w:firstLineChars="0"/>
              <w:jc w:val="center"/>
              <w:rPr>
                <w:rFonts w:ascii="宋体" w:hAnsi="宋体" w:cs="宋体"/>
                <w:sz w:val="22"/>
              </w:rPr>
            </w:pPr>
          </w:p>
        </w:tc>
        <w:tc>
          <w:tcPr>
            <w:tcW w:w="596" w:type="pct"/>
            <w:vMerge w:val="continue"/>
            <w:vAlign w:val="center"/>
          </w:tcPr>
          <w:p w14:paraId="23A76DD7">
            <w:pPr>
              <w:spacing w:line="240" w:lineRule="auto"/>
              <w:ind w:firstLine="0" w:firstLineChars="0"/>
              <w:jc w:val="center"/>
              <w:rPr>
                <w:rFonts w:ascii="宋体" w:hAnsi="宋体" w:cs="宋体"/>
                <w:sz w:val="22"/>
              </w:rPr>
            </w:pPr>
          </w:p>
        </w:tc>
        <w:tc>
          <w:tcPr>
            <w:tcW w:w="3096" w:type="pct"/>
            <w:vAlign w:val="center"/>
          </w:tcPr>
          <w:p w14:paraId="374C43CA">
            <w:pPr>
              <w:widowControl/>
              <w:ind w:firstLine="0" w:firstLineChars="0"/>
              <w:rPr>
                <w:rFonts w:ascii="宋体" w:hAnsi="宋体" w:cs="宋体"/>
                <w:color w:val="000000"/>
                <w:sz w:val="22"/>
              </w:rPr>
            </w:pPr>
            <w:r>
              <w:rPr>
                <w:rFonts w:hint="eastAsia" w:ascii="宋体" w:hAnsi="宋体" w:cs="宋体"/>
                <w:color w:val="000000"/>
                <w:sz w:val="22"/>
              </w:rPr>
              <w:t>评委根据投标人售后服务承诺及服务响应时间（包含服务、调换、非成套补货等）的完备性、可操作性、承诺的供货期、验货方案等综合评分。</w:t>
            </w:r>
          </w:p>
          <w:p w14:paraId="11C47A8D">
            <w:pPr>
              <w:widowControl/>
              <w:ind w:firstLine="0" w:firstLineChars="0"/>
              <w:rPr>
                <w:rFonts w:ascii="宋体" w:hAnsi="宋体" w:cs="宋体"/>
                <w:color w:val="000000"/>
                <w:sz w:val="22"/>
              </w:rPr>
            </w:pPr>
            <w:r>
              <w:rPr>
                <w:rFonts w:hint="eastAsia" w:ascii="宋体" w:hAnsi="宋体" w:cs="宋体"/>
                <w:color w:val="000000"/>
                <w:sz w:val="22"/>
              </w:rPr>
              <w:t>（满分10分。优：</w:t>
            </w:r>
            <w:r>
              <w:rPr>
                <w:rFonts w:hint="eastAsia" w:ascii="宋体" w:hAnsi="宋体" w:cs="宋体"/>
                <w:color w:val="000000"/>
                <w:sz w:val="22"/>
                <w:lang w:val="en-US" w:eastAsia="zh-CN"/>
              </w:rPr>
              <w:t>7</w:t>
            </w:r>
            <w:r>
              <w:rPr>
                <w:rFonts w:hint="eastAsia" w:ascii="宋体" w:hAnsi="宋体" w:cs="宋体"/>
                <w:color w:val="000000"/>
                <w:sz w:val="22"/>
              </w:rPr>
              <w:t>分，良：</w:t>
            </w:r>
            <w:r>
              <w:rPr>
                <w:rFonts w:hint="eastAsia" w:ascii="宋体" w:hAnsi="宋体" w:cs="宋体"/>
                <w:color w:val="000000"/>
                <w:sz w:val="22"/>
                <w:lang w:val="en-US" w:eastAsia="zh-CN"/>
              </w:rPr>
              <w:t>5</w:t>
            </w:r>
            <w:r>
              <w:rPr>
                <w:rFonts w:hint="eastAsia" w:ascii="宋体" w:hAnsi="宋体" w:cs="宋体"/>
                <w:color w:val="000000"/>
                <w:sz w:val="22"/>
              </w:rPr>
              <w:t>分，中：</w:t>
            </w:r>
            <w:r>
              <w:rPr>
                <w:rFonts w:hint="eastAsia" w:ascii="宋体" w:hAnsi="宋体" w:cs="宋体"/>
                <w:color w:val="000000"/>
                <w:sz w:val="22"/>
                <w:lang w:val="en-US" w:eastAsia="zh-CN"/>
              </w:rPr>
              <w:t>3</w:t>
            </w:r>
            <w:r>
              <w:rPr>
                <w:rFonts w:hint="eastAsia" w:ascii="宋体" w:hAnsi="宋体" w:cs="宋体"/>
                <w:color w:val="000000"/>
                <w:sz w:val="22"/>
              </w:rPr>
              <w:t>分，差：</w:t>
            </w:r>
            <w:r>
              <w:rPr>
                <w:rFonts w:hint="eastAsia" w:ascii="宋体" w:hAnsi="宋体" w:cs="宋体"/>
                <w:color w:val="000000"/>
                <w:sz w:val="22"/>
                <w:lang w:val="en-US" w:eastAsia="zh-CN"/>
              </w:rPr>
              <w:t>1</w:t>
            </w:r>
            <w:r>
              <w:rPr>
                <w:rFonts w:hint="eastAsia" w:ascii="宋体" w:hAnsi="宋体" w:cs="宋体"/>
                <w:color w:val="000000"/>
                <w:sz w:val="22"/>
              </w:rPr>
              <w:t>分，无：0分。未提供不得分）</w:t>
            </w:r>
          </w:p>
        </w:tc>
        <w:tc>
          <w:tcPr>
            <w:tcW w:w="721" w:type="pct"/>
            <w:vAlign w:val="center"/>
          </w:tcPr>
          <w:p w14:paraId="051DB7A1">
            <w:pPr>
              <w:spacing w:line="240" w:lineRule="auto"/>
              <w:ind w:firstLine="0" w:firstLineChars="0"/>
              <w:jc w:val="center"/>
              <w:rPr>
                <w:rFonts w:ascii="宋体" w:hAnsi="宋体" w:cs="宋体"/>
                <w:sz w:val="22"/>
              </w:rPr>
            </w:pPr>
            <w:r>
              <w:rPr>
                <w:rFonts w:hint="eastAsia" w:ascii="宋体" w:hAnsi="宋体" w:cs="宋体"/>
                <w:sz w:val="22"/>
                <w:lang w:val="en-US" w:eastAsia="zh-CN"/>
              </w:rPr>
              <w:t>7</w:t>
            </w:r>
            <w:r>
              <w:rPr>
                <w:rFonts w:hint="eastAsia" w:ascii="宋体" w:hAnsi="宋体" w:cs="宋体"/>
                <w:sz w:val="22"/>
              </w:rPr>
              <w:t>分</w:t>
            </w:r>
          </w:p>
        </w:tc>
      </w:tr>
      <w:tr w14:paraId="7C72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6" w:type="pct"/>
            <w:vMerge w:val="continue"/>
            <w:vAlign w:val="center"/>
          </w:tcPr>
          <w:p w14:paraId="67808322">
            <w:pPr>
              <w:spacing w:line="240" w:lineRule="auto"/>
              <w:ind w:firstLine="0" w:firstLineChars="0"/>
              <w:jc w:val="center"/>
              <w:rPr>
                <w:rFonts w:ascii="宋体" w:hAnsi="宋体" w:cs="宋体"/>
                <w:sz w:val="22"/>
              </w:rPr>
            </w:pPr>
          </w:p>
        </w:tc>
        <w:tc>
          <w:tcPr>
            <w:tcW w:w="596" w:type="pct"/>
            <w:vMerge w:val="continue"/>
            <w:vAlign w:val="center"/>
          </w:tcPr>
          <w:p w14:paraId="02295735">
            <w:pPr>
              <w:spacing w:line="240" w:lineRule="auto"/>
              <w:ind w:firstLine="0" w:firstLineChars="0"/>
              <w:jc w:val="center"/>
              <w:rPr>
                <w:rFonts w:ascii="宋体" w:hAnsi="宋体" w:cs="宋体"/>
                <w:sz w:val="22"/>
              </w:rPr>
            </w:pPr>
          </w:p>
        </w:tc>
        <w:tc>
          <w:tcPr>
            <w:tcW w:w="3096" w:type="pct"/>
            <w:vAlign w:val="center"/>
          </w:tcPr>
          <w:p w14:paraId="463A16A7">
            <w:pPr>
              <w:pStyle w:val="5"/>
              <w:widowControl/>
              <w:rPr>
                <w:rFonts w:ascii="宋体" w:hAnsi="宋体" w:eastAsia="宋体" w:cs="宋体"/>
                <w:color w:val="000000"/>
                <w:lang w:eastAsia="zh-CN"/>
              </w:rPr>
            </w:pPr>
            <w:r>
              <w:rPr>
                <w:rFonts w:hint="eastAsia" w:ascii="宋体" w:hAnsi="宋体" w:eastAsia="宋体" w:cs="宋体"/>
                <w:color w:val="000000"/>
                <w:lang w:eastAsia="zh-CN"/>
              </w:rPr>
              <w:t>评委根据投标人提供的项目质量控制措施编制是否合理、清晰、科学、有效、符合实际及项目需求进行综合评分。质量控制措施包括：组织管理、技术质检、技术标准、管理措施等内容综合评分。</w:t>
            </w:r>
          </w:p>
          <w:p w14:paraId="568461B3">
            <w:pPr>
              <w:ind w:firstLine="0" w:firstLineChars="0"/>
              <w:jc w:val="left"/>
              <w:rPr>
                <w:rFonts w:ascii="宋体" w:hAnsi="宋体" w:cs="宋体"/>
                <w:color w:val="000000"/>
                <w:sz w:val="22"/>
              </w:rPr>
            </w:pPr>
            <w:r>
              <w:rPr>
                <w:rFonts w:hint="eastAsia" w:ascii="宋体" w:hAnsi="宋体" w:cs="宋体"/>
                <w:color w:val="000000"/>
                <w:sz w:val="22"/>
              </w:rPr>
              <w:t>（满分</w:t>
            </w:r>
            <w:r>
              <w:rPr>
                <w:rFonts w:hint="eastAsia" w:ascii="宋体" w:hAnsi="宋体" w:cs="宋体"/>
                <w:color w:val="000000"/>
                <w:sz w:val="22"/>
                <w:lang w:val="en-US" w:eastAsia="zh-CN"/>
              </w:rPr>
              <w:t>6</w:t>
            </w:r>
            <w:r>
              <w:rPr>
                <w:rFonts w:hint="eastAsia" w:ascii="宋体" w:hAnsi="宋体" w:cs="宋体"/>
                <w:color w:val="000000"/>
                <w:sz w:val="22"/>
              </w:rPr>
              <w:t>分。优：</w:t>
            </w:r>
            <w:r>
              <w:rPr>
                <w:rFonts w:hint="eastAsia" w:ascii="宋体" w:hAnsi="宋体" w:cs="宋体"/>
                <w:color w:val="000000"/>
                <w:sz w:val="22"/>
                <w:lang w:val="en-US" w:eastAsia="zh-CN"/>
              </w:rPr>
              <w:t>6</w:t>
            </w:r>
            <w:r>
              <w:rPr>
                <w:rFonts w:hint="eastAsia" w:ascii="宋体" w:hAnsi="宋体" w:cs="宋体"/>
                <w:color w:val="000000"/>
                <w:sz w:val="22"/>
              </w:rPr>
              <w:t>分，良：</w:t>
            </w:r>
            <w:r>
              <w:rPr>
                <w:rFonts w:hint="eastAsia" w:ascii="宋体" w:hAnsi="宋体" w:cs="宋体"/>
                <w:color w:val="000000"/>
                <w:sz w:val="22"/>
                <w:lang w:val="en-US" w:eastAsia="zh-CN"/>
              </w:rPr>
              <w:t>4</w:t>
            </w:r>
            <w:r>
              <w:rPr>
                <w:rFonts w:hint="eastAsia" w:ascii="宋体" w:hAnsi="宋体" w:cs="宋体"/>
                <w:color w:val="000000"/>
                <w:sz w:val="22"/>
              </w:rPr>
              <w:t>分，中：</w:t>
            </w:r>
            <w:r>
              <w:rPr>
                <w:rFonts w:hint="eastAsia" w:ascii="宋体" w:hAnsi="宋体" w:cs="宋体"/>
                <w:color w:val="000000"/>
                <w:sz w:val="22"/>
                <w:lang w:val="en-US" w:eastAsia="zh-CN"/>
              </w:rPr>
              <w:t>2</w:t>
            </w:r>
            <w:r>
              <w:rPr>
                <w:rFonts w:hint="eastAsia" w:ascii="宋体" w:hAnsi="宋体" w:cs="宋体"/>
                <w:color w:val="000000"/>
                <w:sz w:val="22"/>
              </w:rPr>
              <w:t>分，差：</w:t>
            </w:r>
            <w:r>
              <w:rPr>
                <w:rFonts w:hint="eastAsia" w:ascii="宋体" w:hAnsi="宋体" w:cs="宋体"/>
                <w:color w:val="000000"/>
                <w:sz w:val="22"/>
                <w:lang w:val="en-US" w:eastAsia="zh-CN"/>
              </w:rPr>
              <w:t>1</w:t>
            </w:r>
            <w:r>
              <w:rPr>
                <w:rFonts w:hint="eastAsia" w:ascii="宋体" w:hAnsi="宋体" w:cs="宋体"/>
                <w:color w:val="000000"/>
                <w:sz w:val="22"/>
              </w:rPr>
              <w:t>分，无：0分。未提供不得分）</w:t>
            </w:r>
          </w:p>
        </w:tc>
        <w:tc>
          <w:tcPr>
            <w:tcW w:w="721" w:type="pct"/>
            <w:vAlign w:val="center"/>
          </w:tcPr>
          <w:p w14:paraId="35251C94">
            <w:pPr>
              <w:spacing w:line="240" w:lineRule="auto"/>
              <w:ind w:firstLine="0" w:firstLineChars="0"/>
              <w:jc w:val="center"/>
              <w:rPr>
                <w:rFonts w:ascii="宋体" w:hAnsi="宋体" w:cs="宋体"/>
                <w:sz w:val="22"/>
              </w:rPr>
            </w:pPr>
            <w:r>
              <w:rPr>
                <w:rFonts w:hint="eastAsia" w:ascii="宋体" w:hAnsi="宋体" w:cs="宋体"/>
                <w:sz w:val="22"/>
                <w:lang w:val="en-US" w:eastAsia="zh-CN"/>
              </w:rPr>
              <w:t>6</w:t>
            </w:r>
            <w:r>
              <w:rPr>
                <w:rFonts w:hint="eastAsia" w:ascii="宋体" w:hAnsi="宋体" w:cs="宋体"/>
                <w:sz w:val="22"/>
              </w:rPr>
              <w:t>分</w:t>
            </w:r>
          </w:p>
        </w:tc>
      </w:tr>
      <w:bookmarkEnd w:id="0"/>
      <w:bookmarkEnd w:id="1"/>
    </w:tbl>
    <w:p w14:paraId="45EBF025">
      <w:pPr>
        <w:adjustRightInd w:val="0"/>
        <w:snapToGrid w:val="0"/>
        <w:ind w:firstLine="480"/>
        <w:rPr>
          <w:rFonts w:ascii="宋体" w:hAnsi="宋体"/>
          <w:sz w:val="24"/>
          <w:szCs w:val="24"/>
        </w:rPr>
      </w:pPr>
      <w:r>
        <w:rPr>
          <w:rFonts w:hint="eastAsia" w:ascii="宋体" w:hAnsi="宋体"/>
          <w:sz w:val="24"/>
          <w:szCs w:val="24"/>
        </w:rPr>
        <w:t>1、参照《中华人民共和国招标投标法》以及有关规定结合本项目的特点制定本评标办法。</w:t>
      </w:r>
    </w:p>
    <w:p w14:paraId="0F598804">
      <w:pPr>
        <w:adjustRightInd w:val="0"/>
        <w:snapToGrid w:val="0"/>
        <w:ind w:firstLine="480"/>
        <w:rPr>
          <w:rFonts w:ascii="宋体" w:hAnsi="宋体"/>
          <w:sz w:val="24"/>
          <w:szCs w:val="24"/>
        </w:rPr>
      </w:pPr>
      <w:r>
        <w:rPr>
          <w:rFonts w:hint="eastAsia" w:ascii="宋体" w:hAnsi="宋体"/>
          <w:sz w:val="24"/>
          <w:szCs w:val="24"/>
        </w:rPr>
        <w:t>2、评标原则</w:t>
      </w:r>
    </w:p>
    <w:p w14:paraId="34CE00E0">
      <w:pPr>
        <w:adjustRightInd w:val="0"/>
        <w:snapToGrid w:val="0"/>
        <w:ind w:firstLine="480"/>
        <w:rPr>
          <w:rFonts w:ascii="宋体" w:hAnsi="宋体"/>
          <w:sz w:val="24"/>
          <w:szCs w:val="24"/>
        </w:rPr>
      </w:pPr>
      <w:r>
        <w:rPr>
          <w:rFonts w:hint="eastAsia" w:ascii="宋体" w:hAnsi="宋体"/>
          <w:sz w:val="24"/>
          <w:szCs w:val="24"/>
        </w:rPr>
        <w:t>（1）投标人提交的投标文件应符合招标文件的规定和要求。</w:t>
      </w:r>
    </w:p>
    <w:p w14:paraId="76AF7799">
      <w:pPr>
        <w:adjustRightInd w:val="0"/>
        <w:snapToGrid w:val="0"/>
        <w:ind w:firstLine="480"/>
        <w:rPr>
          <w:rFonts w:ascii="宋体" w:hAnsi="宋体"/>
          <w:sz w:val="24"/>
          <w:szCs w:val="24"/>
        </w:rPr>
      </w:pPr>
      <w:r>
        <w:rPr>
          <w:rFonts w:hint="eastAsia" w:ascii="宋体" w:hAnsi="宋体"/>
          <w:sz w:val="24"/>
          <w:szCs w:val="24"/>
        </w:rPr>
        <w:t>（2）评标活动遵循公平、公正、科学、择优的原则。</w:t>
      </w:r>
    </w:p>
    <w:p w14:paraId="7BDDF9B4">
      <w:pPr>
        <w:adjustRightInd w:val="0"/>
        <w:snapToGrid w:val="0"/>
        <w:ind w:firstLine="480"/>
        <w:rPr>
          <w:rFonts w:ascii="宋体" w:hAnsi="宋体"/>
          <w:sz w:val="24"/>
          <w:szCs w:val="24"/>
        </w:rPr>
      </w:pPr>
      <w:r>
        <w:rPr>
          <w:rFonts w:hint="eastAsia" w:ascii="宋体" w:hAnsi="宋体"/>
          <w:sz w:val="24"/>
          <w:szCs w:val="24"/>
        </w:rPr>
        <w:t>（3）本评标办法未尽事宜以现行招标投标法律法规为准。</w:t>
      </w:r>
    </w:p>
    <w:p w14:paraId="481A9162">
      <w:pPr>
        <w:adjustRightInd w:val="0"/>
        <w:snapToGrid w:val="0"/>
        <w:ind w:firstLine="482"/>
        <w:rPr>
          <w:rFonts w:ascii="宋体" w:hAnsi="宋体"/>
          <w:b/>
          <w:sz w:val="24"/>
          <w:szCs w:val="24"/>
        </w:rPr>
      </w:pPr>
      <w:r>
        <w:rPr>
          <w:rFonts w:hint="eastAsia" w:ascii="宋体" w:hAnsi="宋体"/>
          <w:b/>
          <w:sz w:val="24"/>
          <w:szCs w:val="24"/>
        </w:rPr>
        <w:t>二、评标委员会</w:t>
      </w:r>
    </w:p>
    <w:p w14:paraId="0EAC877D">
      <w:pPr>
        <w:adjustRightInd w:val="0"/>
        <w:snapToGrid w:val="0"/>
        <w:ind w:firstLine="480"/>
        <w:rPr>
          <w:rFonts w:ascii="宋体" w:hAnsi="宋体"/>
          <w:sz w:val="24"/>
          <w:szCs w:val="24"/>
        </w:rPr>
      </w:pPr>
      <w:r>
        <w:rPr>
          <w:rFonts w:hint="eastAsia" w:ascii="宋体" w:hAnsi="宋体"/>
          <w:sz w:val="24"/>
          <w:szCs w:val="24"/>
        </w:rPr>
        <w:t>1、评标委员会由招标</w:t>
      </w:r>
      <w:r>
        <w:rPr>
          <w:rFonts w:hint="eastAsia" w:ascii="宋体" w:hAnsi="宋体"/>
          <w:sz w:val="24"/>
          <w:szCs w:val="24"/>
          <w:lang w:val="en-US" w:eastAsia="zh-CN"/>
        </w:rPr>
        <w:t>科室及使用科室组成</w:t>
      </w:r>
      <w:r>
        <w:rPr>
          <w:rFonts w:hint="eastAsia" w:ascii="宋体" w:hAnsi="宋体"/>
          <w:sz w:val="24"/>
          <w:szCs w:val="24"/>
        </w:rPr>
        <w:t>。</w:t>
      </w:r>
    </w:p>
    <w:p w14:paraId="090431D3">
      <w:pPr>
        <w:adjustRightInd w:val="0"/>
        <w:snapToGrid w:val="0"/>
        <w:ind w:firstLine="482"/>
        <w:rPr>
          <w:rFonts w:ascii="宋体" w:hAnsi="宋体"/>
          <w:b/>
          <w:sz w:val="24"/>
          <w:szCs w:val="24"/>
        </w:rPr>
      </w:pPr>
      <w:r>
        <w:rPr>
          <w:rFonts w:hint="eastAsia" w:ascii="宋体" w:hAnsi="宋体"/>
          <w:b/>
          <w:sz w:val="24"/>
          <w:szCs w:val="24"/>
        </w:rPr>
        <w:t>三、评标程序及具体办法</w:t>
      </w:r>
    </w:p>
    <w:p w14:paraId="48B08A8F">
      <w:pPr>
        <w:adjustRightInd w:val="0"/>
        <w:snapToGrid w:val="0"/>
        <w:ind w:firstLine="480"/>
        <w:rPr>
          <w:rFonts w:ascii="宋体" w:hAnsi="宋体"/>
          <w:sz w:val="24"/>
          <w:szCs w:val="24"/>
        </w:rPr>
      </w:pPr>
      <w:r>
        <w:rPr>
          <w:rFonts w:hint="eastAsia" w:ascii="宋体" w:hAnsi="宋体"/>
          <w:sz w:val="24"/>
          <w:szCs w:val="24"/>
        </w:rPr>
        <w:t>1、评标委员会对实质性响应招标文件的投标文件进行评价和比较。</w:t>
      </w:r>
    </w:p>
    <w:p w14:paraId="2F8A0267">
      <w:pPr>
        <w:adjustRightInd w:val="0"/>
        <w:snapToGrid w:val="0"/>
        <w:ind w:firstLine="480"/>
        <w:rPr>
          <w:rFonts w:ascii="宋体" w:hAnsi="宋体"/>
          <w:sz w:val="24"/>
          <w:szCs w:val="24"/>
        </w:rPr>
      </w:pPr>
      <w:r>
        <w:rPr>
          <w:rFonts w:hint="eastAsia" w:ascii="宋体" w:hAnsi="宋体"/>
          <w:sz w:val="24"/>
          <w:szCs w:val="24"/>
        </w:rPr>
        <w:t>2、本次招标采取打分的办法进行评标，满分为100分。评标委员会从以下几方面对标段的投标文件分别进行详细评审和打分，并根据总得分高低分别进行排名，确定中标人1名。</w:t>
      </w:r>
    </w:p>
    <w:p w14:paraId="2A96BE82">
      <w:pPr>
        <w:adjustRightInd w:val="0"/>
        <w:snapToGrid w:val="0"/>
        <w:ind w:firstLine="480"/>
        <w:rPr>
          <w:rFonts w:ascii="宋体" w:hAnsi="宋体"/>
          <w:sz w:val="24"/>
          <w:szCs w:val="24"/>
        </w:rPr>
      </w:pPr>
      <w:r>
        <w:rPr>
          <w:rFonts w:hint="eastAsia" w:ascii="宋体" w:hAnsi="宋体"/>
          <w:sz w:val="24"/>
          <w:szCs w:val="24"/>
        </w:rPr>
        <w:t>3、具体打分办法如上表。</w:t>
      </w:r>
    </w:p>
    <w:p w14:paraId="7B658D0E">
      <w:pPr>
        <w:adjustRightInd w:val="0"/>
        <w:snapToGrid w:val="0"/>
        <w:ind w:firstLine="482"/>
        <w:rPr>
          <w:rFonts w:ascii="宋体" w:hAnsi="宋体"/>
          <w:b/>
          <w:sz w:val="24"/>
          <w:szCs w:val="24"/>
        </w:rPr>
      </w:pPr>
      <w:r>
        <w:rPr>
          <w:rFonts w:hint="eastAsia" w:ascii="宋体" w:hAnsi="宋体"/>
          <w:b/>
          <w:sz w:val="24"/>
          <w:szCs w:val="24"/>
        </w:rPr>
        <w:t>四、计分办法</w:t>
      </w:r>
    </w:p>
    <w:p w14:paraId="68602D50">
      <w:pPr>
        <w:adjustRightInd w:val="0"/>
        <w:snapToGrid w:val="0"/>
        <w:ind w:firstLine="480"/>
        <w:rPr>
          <w:rFonts w:ascii="宋体" w:hAnsi="宋体"/>
          <w:sz w:val="24"/>
          <w:szCs w:val="24"/>
        </w:rPr>
      </w:pPr>
      <w:r>
        <w:rPr>
          <w:rFonts w:hint="eastAsia" w:ascii="宋体" w:hAnsi="宋体"/>
          <w:sz w:val="24"/>
          <w:szCs w:val="24"/>
        </w:rPr>
        <w:t>（1）评标委员会成员按照招标文件和本办法上述有关规定,给各投标文件评分。</w:t>
      </w:r>
    </w:p>
    <w:p w14:paraId="20282CB5">
      <w:pPr>
        <w:adjustRightInd w:val="0"/>
        <w:snapToGrid w:val="0"/>
        <w:ind w:firstLine="480"/>
        <w:rPr>
          <w:rFonts w:ascii="宋体" w:hAnsi="宋体"/>
          <w:sz w:val="24"/>
          <w:szCs w:val="24"/>
        </w:rPr>
      </w:pPr>
      <w:r>
        <w:rPr>
          <w:rFonts w:hint="eastAsia" w:ascii="宋体" w:hAnsi="宋体"/>
          <w:sz w:val="24"/>
          <w:szCs w:val="24"/>
        </w:rPr>
        <w:t>（2）各投标人的得分为各评委所评定分数的算术平均值。</w:t>
      </w:r>
    </w:p>
    <w:p w14:paraId="60497737">
      <w:pPr>
        <w:adjustRightInd w:val="0"/>
        <w:snapToGrid w:val="0"/>
        <w:ind w:firstLine="480"/>
        <w:rPr>
          <w:rFonts w:ascii="宋体" w:hAnsi="宋体"/>
          <w:sz w:val="24"/>
          <w:szCs w:val="24"/>
        </w:rPr>
      </w:pPr>
      <w:r>
        <w:rPr>
          <w:rFonts w:hint="eastAsia" w:ascii="宋体" w:hAnsi="宋体"/>
          <w:sz w:val="24"/>
          <w:szCs w:val="24"/>
        </w:rPr>
        <w:t>（3）各项统计、评分结果均按四舍五入方法精确到小数点后两位。</w:t>
      </w:r>
    </w:p>
    <w:p w14:paraId="4D4CA00C">
      <w:r>
        <w:rPr>
          <w:rFonts w:hint="eastAsia" w:ascii="宋体" w:hAnsi="宋体"/>
          <w:sz w:val="24"/>
          <w:szCs w:val="24"/>
        </w:rPr>
        <w:t>（4）评标委员会根据各投标人投标的最终评分,按高低次序确定投标人最终的排列名次，并按照招标文件中规定推荐三名合格的中标候选人。如果投标人的最终评分相同，则投标报价低的投标人排名优先。</w:t>
      </w:r>
    </w:p>
    <w:sectPr>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91C23"/>
    <w:rsid w:val="07035F04"/>
    <w:rsid w:val="0B380146"/>
    <w:rsid w:val="0C9615C8"/>
    <w:rsid w:val="13180F89"/>
    <w:rsid w:val="14DB4B7D"/>
    <w:rsid w:val="186B3909"/>
    <w:rsid w:val="18B2778A"/>
    <w:rsid w:val="1B4548E5"/>
    <w:rsid w:val="25F74A2E"/>
    <w:rsid w:val="267C13D7"/>
    <w:rsid w:val="28341F69"/>
    <w:rsid w:val="29226266"/>
    <w:rsid w:val="2AEA4B61"/>
    <w:rsid w:val="2C1C64BB"/>
    <w:rsid w:val="35786D81"/>
    <w:rsid w:val="39642886"/>
    <w:rsid w:val="3C0D06AF"/>
    <w:rsid w:val="3D915310"/>
    <w:rsid w:val="413E0DF0"/>
    <w:rsid w:val="45846632"/>
    <w:rsid w:val="4A404814"/>
    <w:rsid w:val="4F584517"/>
    <w:rsid w:val="50D77086"/>
    <w:rsid w:val="52D91C23"/>
    <w:rsid w:val="58D7777B"/>
    <w:rsid w:val="5E3873B6"/>
    <w:rsid w:val="5EC450EE"/>
    <w:rsid w:val="626369CC"/>
    <w:rsid w:val="660F30F2"/>
    <w:rsid w:val="6BD5099E"/>
    <w:rsid w:val="7B362A78"/>
    <w:rsid w:val="7C091F3A"/>
    <w:rsid w:val="7D6E474B"/>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10"/>
      <w:sz w:val="28"/>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5">
    <w:name w:val="List Paragraph"/>
    <w:basedOn w:val="1"/>
    <w:qFormat/>
    <w:uiPriority w:val="0"/>
    <w:pPr>
      <w:ind w:firstLine="0" w:firstLineChars="0"/>
      <w:jc w:val="left"/>
    </w:pPr>
    <w:rPr>
      <w:rFonts w:eastAsiaTheme="minorEastAsia"/>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1350</Words>
  <Characters>1380</Characters>
  <Lines>0</Lines>
  <Paragraphs>0</Paragraphs>
  <TotalTime>224</TotalTime>
  <ScaleCrop>false</ScaleCrop>
  <LinksUpToDate>false</LinksUpToDate>
  <CharactersWithSpaces>1383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2026-01-15T06:54:00Z</dcterms:created>
  <dc:creator>1</dc:creator>
  <cp:lastModifiedBy>1</cp:lastModifiedBy>
  <cp:lastPrinted>2026-01-22T08:10:13Z</cp:lastPrinted>
  <dcterms:modified xsi:type="dcterms:W3CDTF">2026-01-22T08:14:50Z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B520CDBAA12E4175A53CB945D62C91F1_11</vt:lpwstr>
  </property>
  <property fmtid="{D5CDD505-2E9C-101B-9397-08002B2CF9AE}" pid="4" name="KSOTemplateDocerSaveRecord">
    <vt:lpwstr>eyJoZGlkIjoiZWQ4Zjg5ZjNhMTI4MzZjOTllNGRlMThlZWVlOTA3NDAiLCJ1c2VySWQiOiI3NTUzNDA0NDMifQ==</vt:lpwstr>
  </property>
</Properties>
</file>