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DC9E3">
      <w:pPr>
        <w:spacing w:line="360" w:lineRule="auto"/>
        <w:jc w:val="center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电瓶充电类</w:t>
      </w:r>
      <w:r>
        <w:rPr>
          <w:rFonts w:ascii="宋体" w:hAnsi="宋体"/>
          <w:b/>
          <w:bCs/>
          <w:color w:val="000000"/>
          <w:szCs w:val="21"/>
        </w:rPr>
        <w:t>评分标准</w:t>
      </w:r>
    </w:p>
    <w:tbl>
      <w:tblPr>
        <w:tblStyle w:val="2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869"/>
        <w:gridCol w:w="6090"/>
        <w:gridCol w:w="705"/>
      </w:tblGrid>
      <w:tr w14:paraId="0C3D3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236" w:type="dxa"/>
            <w:shd w:val="clear" w:color="auto" w:fill="auto"/>
          </w:tcPr>
          <w:p w14:paraId="2C94974E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</w:rPr>
              <w:t>评审因素</w:t>
            </w:r>
          </w:p>
        </w:tc>
        <w:tc>
          <w:tcPr>
            <w:tcW w:w="869" w:type="dxa"/>
            <w:shd w:val="clear" w:color="auto" w:fill="auto"/>
          </w:tcPr>
          <w:p w14:paraId="5B7D6207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</w:rPr>
              <w:t>分值</w:t>
            </w:r>
          </w:p>
        </w:tc>
        <w:tc>
          <w:tcPr>
            <w:tcW w:w="6090" w:type="dxa"/>
            <w:shd w:val="clear" w:color="auto" w:fill="auto"/>
          </w:tcPr>
          <w:p w14:paraId="74268673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</w:rPr>
              <w:t>评分办法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500D6CD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</w:p>
        </w:tc>
      </w:tr>
      <w:tr w14:paraId="2E12E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1236" w:type="dxa"/>
            <w:shd w:val="clear" w:color="auto" w:fill="auto"/>
            <w:vAlign w:val="center"/>
          </w:tcPr>
          <w:p w14:paraId="23288DD0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</w:rPr>
              <w:t>价格部分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65D51B7C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微软雅黑"/>
                <w:bCs/>
                <w:szCs w:val="21"/>
              </w:rPr>
              <w:t>分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3B8C435B">
            <w:pPr>
              <w:jc w:val="left"/>
              <w:rPr>
                <w:rFonts w:hint="default" w:ascii="宋体" w:hAnsi="宋体" w:eastAsia="宋体" w:cs="微软雅黑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</w:rPr>
              <w:t>取供应商</w:t>
            </w:r>
            <w:r>
              <w:rPr>
                <w:rFonts w:hint="eastAsia" w:ascii="宋体" w:hAnsi="宋体" w:eastAsia="宋体" w:cs="微软雅黑"/>
                <w:bCs/>
                <w:szCs w:val="21"/>
                <w:lang w:val="en-US" w:eastAsia="zh-CN"/>
              </w:rPr>
              <w:t>最高分成比例</w:t>
            </w:r>
            <w:r>
              <w:rPr>
                <w:rFonts w:hint="eastAsia" w:ascii="宋体" w:hAnsi="宋体" w:eastAsia="宋体" w:cs="微软雅黑"/>
                <w:bCs/>
                <w:szCs w:val="21"/>
              </w:rPr>
              <w:t>为基准报价，响应报价得分=</w:t>
            </w:r>
            <w:r>
              <w:rPr>
                <w:rFonts w:hint="eastAsia" w:ascii="宋体" w:hAnsi="宋体" w:eastAsia="宋体" w:cs="微软雅黑"/>
                <w:bCs/>
                <w:szCs w:val="21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微软雅黑"/>
                <w:bCs/>
                <w:szCs w:val="21"/>
              </w:rPr>
              <w:t>报价/</w:t>
            </w:r>
            <w:r>
              <w:rPr>
                <w:rFonts w:hint="eastAsia" w:ascii="宋体" w:hAnsi="宋体" w:eastAsia="宋体" w:cs="微软雅黑"/>
                <w:bCs/>
                <w:szCs w:val="21"/>
                <w:lang w:val="en-US" w:eastAsia="zh-CN"/>
              </w:rPr>
              <w:t>基准</w:t>
            </w:r>
            <w:r>
              <w:rPr>
                <w:rFonts w:hint="eastAsia" w:ascii="宋体" w:hAnsi="宋体" w:eastAsia="宋体" w:cs="微软雅黑"/>
                <w:bCs/>
                <w:szCs w:val="21"/>
              </w:rPr>
              <w:t>报价*</w:t>
            </w:r>
            <w:r>
              <w:rPr>
                <w:rFonts w:hint="eastAsia" w:ascii="宋体" w:hAnsi="宋体" w:eastAsia="宋体" w:cs="微软雅黑"/>
                <w:bCs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微软雅黑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微软雅黑"/>
                <w:bCs/>
                <w:szCs w:val="21"/>
                <w:lang w:val="en-US" w:eastAsia="zh-CN"/>
              </w:rPr>
              <w:t>报价需高于最低限价)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F00D5B3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微软雅黑"/>
                <w:bCs/>
                <w:szCs w:val="21"/>
              </w:rPr>
              <w:t>0</w:t>
            </w:r>
          </w:p>
        </w:tc>
      </w:tr>
      <w:tr w14:paraId="5E05A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236" w:type="dxa"/>
            <w:shd w:val="clear" w:color="auto" w:fill="auto"/>
            <w:vAlign w:val="center"/>
          </w:tcPr>
          <w:p w14:paraId="271FA7D6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</w:rPr>
              <w:t>商务部分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47693F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10分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4EA1A9CA"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近三年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Cs w:val="21"/>
              </w:rPr>
              <w:t>以来同类业绩的，每提供一个业绩得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分，最多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分。（同类业绩：须提供合同，现场照片等证明材料；同一个单位算一个业绩。）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297630F">
            <w:pPr>
              <w:widowControl/>
              <w:jc w:val="center"/>
              <w:rPr>
                <w:rFonts w:hint="default" w:ascii="宋体" w:hAnsi="宋体" w:eastAsia="宋体" w:cs="微软雅黑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</w:tr>
      <w:tr w14:paraId="74E6B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6" w:hRule="atLeast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14:paraId="6B8BFA6B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</w:rPr>
              <w:t>技术部分</w:t>
            </w:r>
          </w:p>
        </w:tc>
        <w:tc>
          <w:tcPr>
            <w:tcW w:w="869" w:type="dxa"/>
            <w:vMerge w:val="restart"/>
            <w:shd w:val="clear" w:color="auto" w:fill="auto"/>
            <w:vAlign w:val="center"/>
          </w:tcPr>
          <w:p w14:paraId="7412C08C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微软雅黑"/>
                <w:bCs/>
                <w:szCs w:val="21"/>
              </w:rPr>
              <w:t>分</w:t>
            </w:r>
          </w:p>
        </w:tc>
        <w:tc>
          <w:tcPr>
            <w:tcW w:w="6090" w:type="dxa"/>
            <w:shd w:val="clear" w:color="auto" w:fill="auto"/>
          </w:tcPr>
          <w:p w14:paraId="707DE790">
            <w:pPr>
              <w:spacing w:line="240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、运营及日常管理方案（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分）</w:t>
            </w:r>
          </w:p>
          <w:p w14:paraId="2DA10E61">
            <w:pPr>
              <w:spacing w:line="240" w:lineRule="auto"/>
              <w:jc w:val="left"/>
              <w:rPr>
                <w:rFonts w:ascii="宋体" w:hAnsi="宋体" w:eastAsia="宋体" w:cs="微软雅黑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根据响应供应商提供的运营管理方案（包括但不限于设备运营维护、日常服务管理、故障的处理方案等）进行综合评分：方案全面合理、符合我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szCs w:val="21"/>
              </w:rPr>
              <w:t>实际情况、可操作性强的得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分；方案较合理、比较符合我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szCs w:val="21"/>
              </w:rPr>
              <w:t>实际情况、比较合理的得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Cs w:val="21"/>
              </w:rPr>
              <w:t>分；方案基本符合我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szCs w:val="21"/>
              </w:rPr>
              <w:t>实际情况、基本合理的得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分；无方案不得分。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7AD0CEF7">
            <w:pPr>
              <w:jc w:val="center"/>
              <w:rPr>
                <w:rFonts w:hint="default" w:ascii="宋体" w:hAnsi="宋体" w:eastAsia="宋体" w:cs="微软雅黑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  <w:lang w:val="en-US" w:eastAsia="zh-CN"/>
              </w:rPr>
              <w:t>10</w:t>
            </w:r>
          </w:p>
        </w:tc>
      </w:tr>
      <w:tr w14:paraId="14C7D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1236" w:type="dxa"/>
            <w:vMerge w:val="continue"/>
            <w:shd w:val="clear" w:color="auto" w:fill="auto"/>
            <w:vAlign w:val="center"/>
          </w:tcPr>
          <w:p w14:paraId="1B0208CC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</w:p>
        </w:tc>
        <w:tc>
          <w:tcPr>
            <w:tcW w:w="869" w:type="dxa"/>
            <w:vMerge w:val="continue"/>
            <w:shd w:val="clear" w:color="auto" w:fill="auto"/>
            <w:vAlign w:val="center"/>
          </w:tcPr>
          <w:p w14:paraId="38183E98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</w:p>
        </w:tc>
        <w:tc>
          <w:tcPr>
            <w:tcW w:w="6090" w:type="dxa"/>
            <w:shd w:val="clear" w:color="auto" w:fill="auto"/>
          </w:tcPr>
          <w:p w14:paraId="152627CF">
            <w:pPr>
              <w:jc w:val="both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、应急事件处理方案（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分）</w:t>
            </w:r>
          </w:p>
          <w:p w14:paraId="73D1FAD3">
            <w:pPr>
              <w:jc w:val="both"/>
              <w:rPr>
                <w:rFonts w:ascii="宋体" w:hAnsi="宋体" w:eastAsia="宋体" w:cs="微软雅黑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根据响应供应商提供的应急事件处理方案（包括但不限于系统发生故障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Cs w:val="21"/>
              </w:rPr>
              <w:t>处理措施等）进行综合评分：方案全面可行合理得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分；方案比较全面合理得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Cs w:val="21"/>
              </w:rPr>
              <w:t>分；方案一般得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分；无方案不得分。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9906D8E">
            <w:pPr>
              <w:jc w:val="center"/>
              <w:rPr>
                <w:rFonts w:hint="default" w:ascii="宋体" w:hAnsi="宋体" w:eastAsia="宋体" w:cs="微软雅黑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  <w:lang w:val="en-US" w:eastAsia="zh-CN"/>
              </w:rPr>
              <w:t>10</w:t>
            </w:r>
          </w:p>
        </w:tc>
      </w:tr>
      <w:tr w14:paraId="0D3C3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1236" w:type="dxa"/>
            <w:shd w:val="clear" w:color="auto" w:fill="auto"/>
            <w:vAlign w:val="center"/>
          </w:tcPr>
          <w:p w14:paraId="51DC848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3D428D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</w:t>
            </w:r>
          </w:p>
        </w:tc>
        <w:tc>
          <w:tcPr>
            <w:tcW w:w="6090" w:type="dxa"/>
            <w:shd w:val="clear" w:color="auto" w:fill="auto"/>
          </w:tcPr>
          <w:p w14:paraId="4D2FDA75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增值服务：根据响应供应商为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院方</w:t>
            </w:r>
            <w:r>
              <w:rPr>
                <w:rFonts w:hint="eastAsia" w:ascii="宋体" w:hAnsi="宋体" w:eastAsia="宋体" w:cs="宋体"/>
                <w:szCs w:val="21"/>
              </w:rPr>
              <w:t>提供的、经评审小组认可的增值服务措施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进行评分</w:t>
            </w:r>
            <w:r>
              <w:rPr>
                <w:rFonts w:hint="eastAsia" w:ascii="宋体" w:hAnsi="宋体" w:eastAsia="宋体" w:cs="宋体"/>
                <w:szCs w:val="21"/>
              </w:rPr>
              <w:t>，最多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分。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FDC9B3D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</w:t>
            </w:r>
          </w:p>
        </w:tc>
      </w:tr>
    </w:tbl>
    <w:p w14:paraId="66B35608"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57778"/>
    <w:rsid w:val="0DBA6115"/>
    <w:rsid w:val="1EC849A5"/>
    <w:rsid w:val="4F584517"/>
    <w:rsid w:val="52987030"/>
    <w:rsid w:val="5905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462</Characters>
  <Lines>0</Lines>
  <Paragraphs>0</Paragraphs>
  <TotalTime>0</TotalTime>
  <ScaleCrop>false</ScaleCrop>
  <LinksUpToDate>false</LinksUpToDate>
  <CharactersWithSpaces>462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2025-05-14T01:56:00Z</dcterms:created>
  <dc:creator>走，，，过，，，</dc:creator>
  <cp:lastModifiedBy>走，，，过，，，</cp:lastModifiedBy>
  <dcterms:modified xsi:type="dcterms:W3CDTF">2025-05-14T03:08:27Z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F500B94130FD406B8C2A11AB8A020DC4_11</vt:lpwstr>
  </property>
  <property fmtid="{D5CDD505-2E9C-101B-9397-08002B2CF9AE}" pid="4" name="KSOTemplateDocerSaveRecord">
    <vt:lpwstr>eyJoZGlkIjoiZWQ4Zjg5ZjNhMTI4MzZjOTllNGRlMThlZWVlOTA3NDAiLCJ1c2VySWQiOiI3NTUzNDA0NDMifQ==</vt:lpwstr>
  </property>
</Properties>
</file>